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20" w:lineRule="exact"/>
        <w:jc w:val="center"/>
        <w:rPr>
          <w:rFonts w:ascii="黑体" w:eastAsia="黑体"/>
          <w:b/>
          <w:bCs/>
          <w:kern w:val="0"/>
          <w:sz w:val="32"/>
          <w:szCs w:val="32"/>
        </w:rPr>
      </w:pPr>
      <w:r>
        <w:rPr>
          <w:rFonts w:hint="eastAsia" w:ascii="黑体" w:eastAsia="黑体"/>
          <w:b/>
          <w:bCs/>
          <w:kern w:val="0"/>
          <w:sz w:val="32"/>
          <w:szCs w:val="32"/>
        </w:rPr>
        <w:t>承德银行“承溢盈”人民币理财产品</w:t>
      </w:r>
      <w:r>
        <w:rPr>
          <w:rFonts w:hint="eastAsia" w:ascii="黑体" w:eastAsia="黑体"/>
          <w:b/>
          <w:bCs/>
          <w:kern w:val="0"/>
          <w:sz w:val="32"/>
          <w:szCs w:val="32"/>
          <w:lang w:eastAsia="zh-CN"/>
        </w:rPr>
        <w:t>第二百七十</w:t>
      </w:r>
      <w:r>
        <w:rPr>
          <w:rFonts w:hint="eastAsia" w:ascii="黑体" w:eastAsia="黑体"/>
          <w:b/>
          <w:bCs/>
          <w:kern w:val="0"/>
          <w:sz w:val="32"/>
          <w:szCs w:val="32"/>
          <w:lang w:val="en-US" w:eastAsia="zh-CN"/>
        </w:rPr>
        <w:t>七</w:t>
      </w:r>
      <w:r>
        <w:rPr>
          <w:rFonts w:hint="eastAsia" w:ascii="黑体" w:eastAsia="黑体"/>
          <w:b/>
          <w:bCs/>
          <w:kern w:val="0"/>
          <w:sz w:val="32"/>
          <w:szCs w:val="32"/>
          <w:lang w:eastAsia="zh-CN"/>
        </w:rPr>
        <w:t>期</w:t>
      </w:r>
      <w:r>
        <w:rPr>
          <w:rFonts w:hint="eastAsia" w:ascii="黑体" w:eastAsia="黑体"/>
          <w:b/>
          <w:bCs/>
          <w:kern w:val="0"/>
          <w:sz w:val="32"/>
          <w:szCs w:val="32"/>
        </w:rPr>
        <w:t>说明书</w:t>
      </w:r>
    </w:p>
    <w:p>
      <w:pPr>
        <w:pStyle w:val="2"/>
        <w:jc w:val="center"/>
        <w:rPr>
          <w:b/>
          <w:sz w:val="24"/>
        </w:rPr>
      </w:pPr>
    </w:p>
    <w:p>
      <w:pPr>
        <w:pStyle w:val="2"/>
        <w:jc w:val="center"/>
        <w:rPr>
          <w:b/>
          <w:color w:val="FF0000"/>
          <w:sz w:val="24"/>
        </w:rPr>
      </w:pPr>
      <w:r>
        <w:rPr>
          <w:rFonts w:hint="eastAsia"/>
          <w:b/>
          <w:color w:val="FF0000"/>
          <w:sz w:val="24"/>
        </w:rPr>
        <w:t>理财非存款、产品有风险、投资须谨慎</w:t>
      </w:r>
    </w:p>
    <w:tbl>
      <w:tblPr>
        <w:tblStyle w:val="9"/>
        <w:tblpPr w:leftFromText="180" w:rightFromText="180" w:vertAnchor="text" w:horzAnchor="page" w:tblpX="1221" w:tblpY="238"/>
        <w:tblOverlap w:val="never"/>
        <w:tblW w:w="9923" w:type="dxa"/>
        <w:tblInd w:w="0" w:type="dxa"/>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
      <w:tblGrid>
        <w:gridCol w:w="9923"/>
      </w:tblGrid>
      <w:tr>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Ex>
        <w:trPr>
          <w:trHeight w:val="4089" w:hRule="atLeast"/>
        </w:trPr>
        <w:tc>
          <w:tcPr>
            <w:tcW w:w="9923" w:type="dxa"/>
            <w:noWrap/>
          </w:tcPr>
          <w:p>
            <w:pPr>
              <w:widowControl/>
              <w:snapToGrid w:val="0"/>
              <w:spacing w:line="340" w:lineRule="exact"/>
              <w:jc w:val="center"/>
              <w:rPr>
                <w:b/>
                <w:color w:val="000000" w:themeColor="text1"/>
                <w:szCs w:val="21"/>
              </w:rPr>
            </w:pPr>
            <w:r>
              <w:rPr>
                <w:rFonts w:hint="eastAsia"/>
                <w:b/>
                <w:color w:val="000000" w:themeColor="text1"/>
                <w:szCs w:val="21"/>
              </w:rPr>
              <w:t>★</w:t>
            </w:r>
            <w:r>
              <w:rPr>
                <w:rFonts w:hint="eastAsia" w:ascii="宋体" w:hAnsi="宋体" w:cs="宋体"/>
                <w:b/>
                <w:color w:val="000000" w:themeColor="text1"/>
                <w:kern w:val="0"/>
                <w:szCs w:val="21"/>
              </w:rPr>
              <w:t>重要须知</w:t>
            </w:r>
            <w:r>
              <w:rPr>
                <w:rFonts w:hint="eastAsia"/>
                <w:b/>
                <w:color w:val="000000" w:themeColor="text1"/>
                <w:szCs w:val="21"/>
              </w:rPr>
              <w:t>★</w:t>
            </w:r>
          </w:p>
          <w:p>
            <w:pPr>
              <w:pStyle w:val="7"/>
              <w:snapToGrid w:val="0"/>
              <w:spacing w:before="0" w:beforeAutospacing="0" w:after="0" w:afterAutospacing="0"/>
              <w:ind w:left="211" w:hanging="211" w:hangingChars="100"/>
              <w:rPr>
                <w:b/>
                <w:sz w:val="21"/>
                <w:szCs w:val="21"/>
              </w:rPr>
            </w:pPr>
            <w:r>
              <w:rPr>
                <w:rFonts w:hint="eastAsia"/>
                <w:b/>
                <w:sz w:val="21"/>
                <w:szCs w:val="21"/>
              </w:rPr>
              <w:t>★银行销售的理财产品不等同于银行存款，管理人不保证本理财产品一定盈利，也不保证本金安全和最低收益。理财产品过往业绩不代表其未来表现，不等于理财产品的实际收益，产品有风险、投资须谨慎。</w:t>
            </w:r>
          </w:p>
          <w:p>
            <w:pPr>
              <w:pStyle w:val="7"/>
              <w:snapToGrid w:val="0"/>
              <w:spacing w:before="0" w:beforeAutospacing="0" w:after="0" w:afterAutospacing="0"/>
              <w:ind w:left="211" w:hanging="211" w:hangingChars="100"/>
              <w:rPr>
                <w:b/>
                <w:sz w:val="21"/>
                <w:szCs w:val="21"/>
              </w:rPr>
            </w:pPr>
            <w:r>
              <w:rPr>
                <w:rFonts w:hint="eastAsia"/>
                <w:b/>
                <w:sz w:val="21"/>
                <w:szCs w:val="21"/>
              </w:rPr>
              <w:t>★本理财产品仅向依据中华人民共和国有关法律法规及本产品说明书规定可以购买本理财产品的投资者发售。投资者承诺其用于认购理财产品的资金来源合法合规，不存在使用贷款、发行债券等筹集的非自有资金投资本理财产品的情形。</w:t>
            </w:r>
          </w:p>
          <w:p>
            <w:pPr>
              <w:pStyle w:val="7"/>
              <w:snapToGrid w:val="0"/>
              <w:spacing w:before="0" w:beforeAutospacing="0" w:after="0" w:afterAutospacing="0"/>
              <w:ind w:left="211" w:hanging="211" w:hangingChars="100"/>
              <w:rPr>
                <w:b/>
                <w:sz w:val="21"/>
                <w:szCs w:val="21"/>
              </w:rPr>
            </w:pPr>
            <w:r>
              <w:rPr>
                <w:rFonts w:hint="eastAsia"/>
                <w:b/>
                <w:sz w:val="21"/>
                <w:szCs w:val="21"/>
              </w:rPr>
              <w:t>★投资者承诺投资本理财产品使用的资金为投资者合法持有，不存在代他人持有或投资理财产品的情形；资金来源合法合规，仅为合法目的投资本理财产品；如发生异常情况，投资者将配合承德银行股份有限公司（以下简称承德银行）开展客户身份识别及尽职调查等反洗钱活动，及时、真实、准确、完整地提供身份信息及资金来源信息。</w:t>
            </w:r>
          </w:p>
          <w:p>
            <w:pPr>
              <w:pStyle w:val="7"/>
              <w:snapToGrid w:val="0"/>
              <w:spacing w:before="0" w:beforeAutospacing="0" w:after="0" w:afterAutospacing="0"/>
              <w:ind w:left="316" w:hanging="316" w:hangingChars="150"/>
              <w:jc w:val="both"/>
              <w:rPr>
                <w:b/>
                <w:sz w:val="21"/>
                <w:szCs w:val="21"/>
              </w:rPr>
            </w:pPr>
            <w:r>
              <w:rPr>
                <w:rFonts w:hint="eastAsia"/>
                <w:b/>
                <w:sz w:val="21"/>
                <w:szCs w:val="21"/>
              </w:rPr>
              <w:t>★本理财产品在发生不利情况下（可能但不一定发生），投资者可能无法取得收益。投资者应认真阅读本</w:t>
            </w:r>
          </w:p>
          <w:p>
            <w:pPr>
              <w:pStyle w:val="7"/>
              <w:snapToGrid w:val="0"/>
              <w:spacing w:before="0" w:beforeAutospacing="0" w:after="0" w:afterAutospacing="0"/>
              <w:ind w:firstLine="211" w:firstLineChars="100"/>
              <w:jc w:val="both"/>
              <w:rPr>
                <w:b/>
                <w:sz w:val="21"/>
                <w:szCs w:val="21"/>
              </w:rPr>
            </w:pPr>
            <w:r>
              <w:rPr>
                <w:rFonts w:hint="eastAsia"/>
                <w:b/>
                <w:sz w:val="21"/>
                <w:szCs w:val="21"/>
              </w:rPr>
              <w:t>说明书及风险揭示书等产品销售文件，基于自身的独立判断进行投资决策。</w:t>
            </w:r>
          </w:p>
          <w:p>
            <w:pPr>
              <w:pStyle w:val="7"/>
              <w:snapToGrid w:val="0"/>
              <w:spacing w:before="0" w:beforeAutospacing="0" w:after="0" w:afterAutospacing="0"/>
              <w:ind w:left="316" w:hanging="316" w:hangingChars="150"/>
              <w:rPr>
                <w:b/>
                <w:sz w:val="21"/>
                <w:szCs w:val="21"/>
              </w:rPr>
            </w:pPr>
            <w:r>
              <w:rPr>
                <w:rFonts w:hint="eastAsia"/>
                <w:b/>
                <w:sz w:val="21"/>
                <w:szCs w:val="21"/>
              </w:rPr>
              <w:t>★本理财产品说明书中的任何业绩基准、参考收益、测算收益或类似表述均属不具有法律效力的用语，不</w:t>
            </w:r>
          </w:p>
          <w:p>
            <w:pPr>
              <w:pStyle w:val="7"/>
              <w:snapToGrid w:val="0"/>
              <w:spacing w:before="0" w:beforeAutospacing="0" w:after="0" w:afterAutospacing="0"/>
              <w:ind w:left="315" w:leftChars="100" w:hanging="105" w:hangingChars="50"/>
              <w:rPr>
                <w:b/>
                <w:sz w:val="21"/>
                <w:szCs w:val="21"/>
              </w:rPr>
            </w:pPr>
            <w:r>
              <w:rPr>
                <w:rFonts w:hint="eastAsia"/>
                <w:b/>
                <w:sz w:val="21"/>
                <w:szCs w:val="21"/>
              </w:rPr>
              <w:t>代表投资者可能获得的实际收益，亦不构成承德银行对本理财产品的任何收益承诺，仅供投资者期初进</w:t>
            </w:r>
          </w:p>
          <w:p>
            <w:pPr>
              <w:pStyle w:val="7"/>
              <w:snapToGrid w:val="0"/>
              <w:spacing w:before="0" w:beforeAutospacing="0" w:after="0" w:afterAutospacing="0"/>
              <w:ind w:firstLine="211" w:firstLineChars="100"/>
              <w:rPr>
                <w:b/>
                <w:sz w:val="21"/>
                <w:szCs w:val="21"/>
              </w:rPr>
            </w:pPr>
            <w:r>
              <w:rPr>
                <w:rFonts w:hint="eastAsia"/>
                <w:b/>
                <w:sz w:val="21"/>
                <w:szCs w:val="21"/>
              </w:rPr>
              <w:t>行投资决定时参考。</w:t>
            </w:r>
          </w:p>
          <w:p>
            <w:pPr>
              <w:pStyle w:val="7"/>
              <w:snapToGrid w:val="0"/>
              <w:spacing w:before="0" w:beforeAutospacing="0" w:after="0" w:afterAutospacing="0"/>
              <w:ind w:left="316" w:hanging="316" w:hangingChars="150"/>
              <w:rPr>
                <w:b/>
                <w:sz w:val="21"/>
                <w:szCs w:val="21"/>
              </w:rPr>
            </w:pPr>
            <w:r>
              <w:rPr>
                <w:rFonts w:hint="eastAsia"/>
                <w:b/>
                <w:sz w:val="21"/>
                <w:szCs w:val="21"/>
              </w:rPr>
              <w:t>★为贯彻落实银行业理财登记托管中心发布的“理财中心发【2018】18号”文件的精神及相关实施细则的</w:t>
            </w:r>
          </w:p>
          <w:p>
            <w:pPr>
              <w:pStyle w:val="7"/>
              <w:snapToGrid w:val="0"/>
              <w:spacing w:before="0" w:beforeAutospacing="0" w:after="0" w:afterAutospacing="0"/>
              <w:ind w:left="315" w:leftChars="100" w:hanging="105" w:hangingChars="50"/>
              <w:rPr>
                <w:b/>
                <w:sz w:val="21"/>
                <w:szCs w:val="21"/>
              </w:rPr>
            </w:pPr>
            <w:r>
              <w:rPr>
                <w:rFonts w:hint="eastAsia"/>
                <w:b/>
                <w:sz w:val="21"/>
                <w:szCs w:val="21"/>
              </w:rPr>
              <w:t>要求，我行将对2018年10月1日后起息的理财产品，向监管机构报送投资者身份信息、每日持仓信息。</w:t>
            </w:r>
          </w:p>
          <w:p>
            <w:pPr>
              <w:pStyle w:val="7"/>
              <w:snapToGrid w:val="0"/>
              <w:spacing w:before="0" w:beforeAutospacing="0" w:after="0" w:afterAutospacing="0"/>
              <w:ind w:left="315" w:leftChars="100" w:hanging="105" w:hangingChars="50"/>
              <w:rPr>
                <w:b/>
                <w:sz w:val="21"/>
                <w:szCs w:val="21"/>
              </w:rPr>
            </w:pPr>
            <w:r>
              <w:rPr>
                <w:rFonts w:hint="eastAsia"/>
                <w:b/>
                <w:sz w:val="21"/>
                <w:szCs w:val="21"/>
              </w:rPr>
              <w:t>投资者签署本理财产品销售文件即视为已经同意承德银行将投资者身份信息及每日持仓信息报送相关监</w:t>
            </w:r>
          </w:p>
          <w:p>
            <w:pPr>
              <w:pStyle w:val="7"/>
              <w:snapToGrid w:val="0"/>
              <w:spacing w:before="0" w:beforeAutospacing="0" w:after="0" w:afterAutospacing="0"/>
              <w:ind w:left="315" w:leftChars="100" w:hanging="105" w:hangingChars="50"/>
              <w:rPr>
                <w:b/>
                <w:sz w:val="21"/>
                <w:szCs w:val="21"/>
              </w:rPr>
            </w:pPr>
            <w:r>
              <w:rPr>
                <w:rFonts w:hint="eastAsia"/>
                <w:b/>
                <w:sz w:val="21"/>
                <w:szCs w:val="21"/>
              </w:rPr>
              <w:t>管机构。</w:t>
            </w:r>
          </w:p>
          <w:p>
            <w:pPr>
              <w:pStyle w:val="7"/>
              <w:snapToGrid w:val="0"/>
              <w:spacing w:before="0" w:beforeAutospacing="0" w:after="0" w:afterAutospacing="0"/>
              <w:ind w:left="316" w:hanging="316" w:hangingChars="150"/>
              <w:rPr>
                <w:b/>
                <w:sz w:val="21"/>
                <w:szCs w:val="21"/>
              </w:rPr>
            </w:pPr>
            <w:r>
              <w:rPr>
                <w:rFonts w:hint="eastAsia"/>
                <w:b/>
                <w:sz w:val="21"/>
                <w:szCs w:val="21"/>
              </w:rPr>
              <w:t>★根据监管要求，管理人（特指除本理财产品的投资管理人承德银行之外的其他管理人，包括但不限于本</w:t>
            </w:r>
          </w:p>
          <w:p>
            <w:pPr>
              <w:pStyle w:val="7"/>
              <w:snapToGrid w:val="0"/>
              <w:spacing w:before="0" w:beforeAutospacing="0" w:after="0" w:afterAutospacing="0"/>
              <w:ind w:left="315" w:leftChars="100" w:hanging="105" w:hangingChars="50"/>
              <w:rPr>
                <w:b/>
                <w:sz w:val="21"/>
                <w:szCs w:val="21"/>
              </w:rPr>
            </w:pPr>
            <w:r>
              <w:rPr>
                <w:rFonts w:hint="eastAsia"/>
                <w:b/>
                <w:sz w:val="21"/>
                <w:szCs w:val="21"/>
              </w:rPr>
              <w:t>产品投资的信托计划/资产管理计划的受托人、相关投资顾问等）有可能需要向监管机构报送投资者身份</w:t>
            </w:r>
          </w:p>
          <w:p>
            <w:pPr>
              <w:pStyle w:val="7"/>
              <w:snapToGrid w:val="0"/>
              <w:spacing w:before="0" w:beforeAutospacing="0" w:after="0" w:afterAutospacing="0"/>
              <w:ind w:left="315" w:leftChars="100" w:hanging="105" w:hangingChars="50"/>
              <w:rPr>
                <w:b/>
                <w:sz w:val="21"/>
                <w:szCs w:val="21"/>
              </w:rPr>
            </w:pPr>
            <w:r>
              <w:rPr>
                <w:rFonts w:hint="eastAsia"/>
                <w:b/>
                <w:sz w:val="21"/>
                <w:szCs w:val="21"/>
              </w:rPr>
              <w:t>信息、持仓信息等相关信息，承德银行将应管理人申请，在必要范围内向管理人提供相关信息，并要求</w:t>
            </w:r>
          </w:p>
          <w:p>
            <w:pPr>
              <w:pStyle w:val="7"/>
              <w:snapToGrid w:val="0"/>
              <w:spacing w:before="0" w:beforeAutospacing="0" w:after="0" w:afterAutospacing="0"/>
              <w:ind w:left="315" w:leftChars="100" w:hanging="105" w:hangingChars="50"/>
              <w:rPr>
                <w:b/>
                <w:sz w:val="21"/>
                <w:szCs w:val="21"/>
              </w:rPr>
            </w:pPr>
            <w:r>
              <w:rPr>
                <w:rFonts w:hint="eastAsia"/>
                <w:b/>
                <w:sz w:val="21"/>
                <w:szCs w:val="21"/>
              </w:rPr>
              <w:t>该管理人履行投资者信息保密义务。投资者签署本理财产品销售文件即视为已经同意承德银行在上述范</w:t>
            </w:r>
          </w:p>
          <w:p>
            <w:pPr>
              <w:pStyle w:val="7"/>
              <w:snapToGrid w:val="0"/>
              <w:spacing w:before="0" w:beforeAutospacing="0" w:after="0" w:afterAutospacing="0"/>
              <w:ind w:left="315" w:leftChars="100" w:hanging="105" w:hangingChars="50"/>
              <w:rPr>
                <w:b/>
                <w:sz w:val="21"/>
                <w:szCs w:val="21"/>
              </w:rPr>
            </w:pPr>
            <w:r>
              <w:rPr>
                <w:rFonts w:hint="eastAsia"/>
                <w:b/>
                <w:sz w:val="21"/>
                <w:szCs w:val="21"/>
              </w:rPr>
              <w:t>围内向相关方提供投资者身份信息、持仓信息等相关信息。</w:t>
            </w:r>
          </w:p>
          <w:p>
            <w:pPr>
              <w:pStyle w:val="7"/>
              <w:snapToGrid w:val="0"/>
              <w:spacing w:before="0" w:beforeAutospacing="0" w:after="0" w:afterAutospacing="0"/>
              <w:rPr>
                <w:b/>
                <w:sz w:val="21"/>
                <w:szCs w:val="21"/>
              </w:rPr>
            </w:pPr>
            <w:r>
              <w:rPr>
                <w:rFonts w:hint="eastAsia"/>
                <w:b/>
                <w:sz w:val="21"/>
                <w:szCs w:val="21"/>
              </w:rPr>
              <w:t>★本产品说明书、风险揭示书、客户权益须知为理财产品协议书不可分割的组成部分，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完成风险承受能力评估。</w:t>
            </w:r>
          </w:p>
          <w:p>
            <w:pPr>
              <w:jc w:val="left"/>
              <w:rPr>
                <w:b/>
                <w:szCs w:val="21"/>
              </w:rPr>
            </w:pPr>
            <w:r>
              <w:rPr>
                <w:rFonts w:hint="eastAsia"/>
                <w:b/>
                <w:szCs w:val="21"/>
              </w:rPr>
              <w:t>★投资者对本理财产品说明书的内容有任何疑问，请向承德银行咨询。在购买本理财产品后，投资者应随</w:t>
            </w:r>
          </w:p>
          <w:p>
            <w:pPr>
              <w:ind w:left="309" w:leftChars="100" w:hanging="99" w:hangingChars="47"/>
              <w:jc w:val="left"/>
              <w:rPr>
                <w:b/>
                <w:szCs w:val="21"/>
              </w:rPr>
            </w:pPr>
            <w:r>
              <w:rPr>
                <w:rFonts w:hint="eastAsia"/>
                <w:b/>
                <w:szCs w:val="21"/>
              </w:rPr>
              <w:t>时关注该理财产品的信息披露情况，及时获取相关信息。</w:t>
            </w:r>
          </w:p>
          <w:p>
            <w:pPr>
              <w:pStyle w:val="2"/>
            </w:pPr>
            <w:r>
              <w:rPr>
                <w:rFonts w:hint="eastAsia"/>
                <w:b/>
                <w:szCs w:val="21"/>
              </w:rPr>
              <w:t>★投资者可在“中国理财网”查询产品信息。</w:t>
            </w:r>
          </w:p>
          <w:p>
            <w:pPr>
              <w:pStyle w:val="7"/>
              <w:snapToGrid w:val="0"/>
              <w:spacing w:before="0" w:beforeAutospacing="0" w:after="0" w:afterAutospacing="0"/>
              <w:rPr>
                <w:b/>
                <w:sz w:val="21"/>
                <w:szCs w:val="21"/>
              </w:rPr>
            </w:pPr>
            <w:r>
              <w:rPr>
                <w:rFonts w:hint="eastAsia"/>
                <w:b/>
                <w:sz w:val="21"/>
                <w:szCs w:val="21"/>
              </w:rPr>
              <w:t>★在本产品存续期内，如出于维持本产品正常运营的需要且在不损害投资者利益的前提下，或因国家法律</w:t>
            </w:r>
          </w:p>
          <w:p>
            <w:pPr>
              <w:pStyle w:val="7"/>
              <w:snapToGrid w:val="0"/>
              <w:spacing w:before="0" w:beforeAutospacing="0" w:after="0" w:afterAutospacing="0"/>
              <w:ind w:left="315" w:leftChars="100" w:hanging="105" w:hangingChars="50"/>
              <w:rPr>
                <w:b/>
                <w:sz w:val="21"/>
                <w:szCs w:val="21"/>
              </w:rPr>
            </w:pPr>
            <w:r>
              <w:rPr>
                <w:rFonts w:hint="eastAsia"/>
                <w:b/>
                <w:sz w:val="21"/>
                <w:szCs w:val="21"/>
              </w:rPr>
              <w:t>法规、监管规定变化，承德银行有权在法律允许范围内单方要求对本产品说明书进行修订。承德银行决</w:t>
            </w:r>
          </w:p>
          <w:p>
            <w:pPr>
              <w:pStyle w:val="7"/>
              <w:snapToGrid w:val="0"/>
              <w:spacing w:before="0" w:beforeAutospacing="0" w:after="0" w:afterAutospacing="0"/>
              <w:ind w:firstLine="211" w:firstLineChars="100"/>
              <w:rPr>
                <w:b/>
                <w:sz w:val="21"/>
                <w:szCs w:val="21"/>
              </w:rPr>
            </w:pPr>
            <w:r>
              <w:rPr>
                <w:rFonts w:hint="eastAsia"/>
                <w:b/>
                <w:sz w:val="21"/>
                <w:szCs w:val="21"/>
              </w:rPr>
              <w:t>定对产品说明书进行修订的，将提前两个工作日以在网站上公告的方式通知投资者。</w:t>
            </w:r>
          </w:p>
          <w:p>
            <w:pPr>
              <w:jc w:val="left"/>
              <w:rPr>
                <w:rFonts w:ascii="仿宋_GB2312" w:hAnsi="华文仿宋"/>
                <w:b/>
                <w:szCs w:val="21"/>
              </w:rPr>
            </w:pPr>
            <w:r>
              <w:rPr>
                <w:rFonts w:hint="eastAsia"/>
                <w:b/>
                <w:szCs w:val="21"/>
              </w:rPr>
              <w:t>★承德银行有权依法对本产品说明书进行解释。</w:t>
            </w:r>
          </w:p>
        </w:tc>
      </w:tr>
    </w:tbl>
    <w:p>
      <w:pPr>
        <w:adjustRightInd w:val="0"/>
        <w:snapToGrid w:val="0"/>
        <w:spacing w:line="620" w:lineRule="exact"/>
        <w:jc w:val="center"/>
        <w:rPr>
          <w:rFonts w:ascii="黑体" w:eastAsia="黑体"/>
          <w:b/>
          <w:bCs/>
          <w:kern w:val="0"/>
          <w:sz w:val="32"/>
          <w:szCs w:val="32"/>
        </w:rPr>
      </w:pPr>
    </w:p>
    <w:p>
      <w:pPr>
        <w:pStyle w:val="2"/>
      </w:pPr>
    </w:p>
    <w:p>
      <w:pPr>
        <w:pStyle w:val="2"/>
      </w:pPr>
    </w:p>
    <w:p>
      <w:pPr>
        <w:pStyle w:val="2"/>
      </w:pPr>
    </w:p>
    <w:p>
      <w:pPr>
        <w:pStyle w:val="2"/>
      </w:pPr>
    </w:p>
    <w:p>
      <w:pPr>
        <w:pStyle w:val="2"/>
        <w:ind w:firstLine="422" w:firstLineChars="200"/>
        <w:rPr>
          <w:b/>
          <w:bCs/>
        </w:rPr>
      </w:pPr>
      <w:r>
        <w:rPr>
          <w:rFonts w:hint="eastAsia"/>
          <w:b/>
          <w:bCs/>
        </w:rPr>
        <w:t>基本定义</w:t>
      </w:r>
    </w:p>
    <w:p>
      <w:pPr>
        <w:pStyle w:val="2"/>
        <w:ind w:firstLine="422" w:firstLineChars="200"/>
        <w:rPr>
          <w:rFonts w:asciiTheme="majorEastAsia" w:hAnsiTheme="majorEastAsia" w:eastAsiaTheme="majorEastAsia" w:cstheme="majorEastAsia"/>
          <w:b/>
          <w:bCs/>
        </w:rPr>
      </w:pPr>
      <w:r>
        <w:rPr>
          <w:rFonts w:hint="eastAsia" w:asciiTheme="majorEastAsia" w:hAnsiTheme="majorEastAsia" w:eastAsiaTheme="majorEastAsia" w:cstheme="majorEastAsia"/>
          <w:b/>
          <w:bCs/>
        </w:rPr>
        <w:t>在本产品说明书中，除非上下文另有明确约定，下列用词将具有如下含义：</w:t>
      </w:r>
    </w:p>
    <w:p>
      <w:pPr>
        <w:pStyle w:val="7"/>
        <w:spacing w:before="0" w:after="0"/>
        <w:ind w:left="1052" w:leftChars="200" w:hanging="632" w:hangingChars="30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(一)</w:t>
      </w:r>
      <w:r>
        <w:rPr>
          <w:rFonts w:hint="eastAsia" w:asciiTheme="majorEastAsia" w:hAnsiTheme="majorEastAsia" w:eastAsiaTheme="majorEastAsia" w:cstheme="majorEastAsia"/>
          <w:bCs/>
          <w:sz w:val="21"/>
          <w:szCs w:val="21"/>
        </w:rPr>
        <w:t> </w:t>
      </w:r>
      <w:r>
        <w:rPr>
          <w:rFonts w:hint="eastAsia" w:asciiTheme="majorEastAsia" w:hAnsiTheme="majorEastAsia" w:eastAsiaTheme="majorEastAsia" w:cstheme="majorEastAsia"/>
          <w:b/>
          <w:sz w:val="21"/>
          <w:szCs w:val="21"/>
        </w:rPr>
        <w:t>承德银行净值型理财产品</w:t>
      </w:r>
      <w:r>
        <w:rPr>
          <w:rFonts w:hint="eastAsia" w:asciiTheme="majorEastAsia" w:hAnsiTheme="majorEastAsia" w:eastAsiaTheme="majorEastAsia" w:cstheme="majorEastAsia"/>
          <w:bCs/>
          <w:sz w:val="21"/>
          <w:szCs w:val="21"/>
        </w:rPr>
        <w:t>：指承德银行作为管理人发起设立，按照与投资者约定的方式和投资范围等对客户委托的资金进行投资、运作、管理的特殊目的载体。银行净值型理财产品财产独立于管理人和托管人的固有财产，独立开户，单独管理、建账和核算。</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(二)</w:t>
      </w:r>
      <w:r>
        <w:rPr>
          <w:rFonts w:hint="eastAsia" w:asciiTheme="majorEastAsia" w:hAnsiTheme="majorEastAsia" w:eastAsiaTheme="majorEastAsia" w:cstheme="majorEastAsia"/>
          <w:bCs/>
          <w:sz w:val="21"/>
          <w:szCs w:val="21"/>
        </w:rPr>
        <w:t> </w:t>
      </w:r>
      <w:r>
        <w:rPr>
          <w:rFonts w:hint="eastAsia" w:asciiTheme="majorEastAsia" w:hAnsiTheme="majorEastAsia" w:eastAsiaTheme="majorEastAsia" w:cstheme="majorEastAsia"/>
          <w:b/>
          <w:sz w:val="21"/>
          <w:szCs w:val="21"/>
        </w:rPr>
        <w:t>受托管理资金</w:t>
      </w:r>
      <w:r>
        <w:rPr>
          <w:rFonts w:hint="eastAsia" w:asciiTheme="majorEastAsia" w:hAnsiTheme="majorEastAsia" w:eastAsiaTheme="majorEastAsia" w:cstheme="majorEastAsia"/>
          <w:bCs/>
          <w:sz w:val="21"/>
          <w:szCs w:val="21"/>
        </w:rPr>
        <w:t>：指投资者委托并交付承德银行进行管理的所有本金。</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(三) 受托管理资产</w:t>
      </w:r>
      <w:r>
        <w:rPr>
          <w:rFonts w:hint="eastAsia" w:asciiTheme="majorEastAsia" w:hAnsiTheme="majorEastAsia" w:eastAsiaTheme="majorEastAsia" w:cstheme="majorEastAsia"/>
          <w:bCs/>
          <w:sz w:val="21"/>
          <w:szCs w:val="21"/>
        </w:rPr>
        <w:t>：指投资者委托承德银行代其运作和管理受托管理资金所形成的各项资产的总和。</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(四) 募集期</w:t>
      </w:r>
      <w:r>
        <w:rPr>
          <w:rFonts w:hint="eastAsia" w:asciiTheme="majorEastAsia" w:hAnsiTheme="majorEastAsia" w:eastAsiaTheme="majorEastAsia" w:cstheme="majorEastAsia"/>
          <w:bCs/>
          <w:sz w:val="21"/>
          <w:szCs w:val="21"/>
        </w:rPr>
        <w:t>：指本净值型理财产品自发行公告之日到净值型理财产品正式成立之间的时间段。</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(五) 成立日</w:t>
      </w:r>
      <w:r>
        <w:rPr>
          <w:rFonts w:hint="eastAsia" w:asciiTheme="majorEastAsia" w:hAnsiTheme="majorEastAsia" w:eastAsiaTheme="majorEastAsia" w:cstheme="majorEastAsia"/>
          <w:bCs/>
          <w:sz w:val="21"/>
          <w:szCs w:val="21"/>
        </w:rPr>
        <w:t>：指本净值型理财产品在募集期达到募集金额的下限，正式成立的日期。</w:t>
      </w:r>
    </w:p>
    <w:p>
      <w:pPr>
        <w:pStyle w:val="7"/>
        <w:spacing w:before="0" w:after="0"/>
        <w:ind w:left="840" w:hanging="420"/>
        <w:rPr>
          <w:rFonts w:asciiTheme="majorEastAsia" w:hAnsiTheme="majorEastAsia" w:eastAsiaTheme="majorEastAsia" w:cstheme="majorEastAsia"/>
          <w:bCs/>
          <w:sz w:val="21"/>
          <w:szCs w:val="21"/>
        </w:rPr>
      </w:pPr>
      <w:r>
        <w:rPr>
          <w:rFonts w:hint="eastAsia" w:asciiTheme="majorEastAsia" w:hAnsiTheme="majorEastAsia" w:eastAsiaTheme="majorEastAsia" w:cstheme="majorEastAsia"/>
          <w:b/>
          <w:sz w:val="21"/>
          <w:szCs w:val="21"/>
        </w:rPr>
        <w:t>(六) 工作日</w:t>
      </w:r>
      <w:r>
        <w:rPr>
          <w:rFonts w:hint="eastAsia" w:asciiTheme="majorEastAsia" w:hAnsiTheme="majorEastAsia" w:eastAsiaTheme="majorEastAsia" w:cstheme="majorEastAsia"/>
          <w:bCs/>
          <w:sz w:val="21"/>
          <w:szCs w:val="21"/>
        </w:rPr>
        <w:t>：指银行对公业务开门日，不包括法定节假日和休息日（因节假日调整而营业的除外）。</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(七) 认购</w:t>
      </w:r>
      <w:r>
        <w:rPr>
          <w:rFonts w:hint="eastAsia" w:asciiTheme="majorEastAsia" w:hAnsiTheme="majorEastAsia" w:eastAsiaTheme="majorEastAsia" w:cstheme="majorEastAsia"/>
          <w:bCs/>
          <w:sz w:val="21"/>
          <w:szCs w:val="21"/>
        </w:rPr>
        <w:t>：指投资者在净值型理财产品募集期间申请购买的行为。</w:t>
      </w:r>
    </w:p>
    <w:p>
      <w:pPr>
        <w:pStyle w:val="7"/>
        <w:spacing w:before="0" w:after="0"/>
        <w:ind w:firstLine="422" w:firstLineChars="200"/>
        <w:rPr>
          <w:rFonts w:asciiTheme="majorEastAsia" w:hAnsiTheme="majorEastAsia" w:eastAsiaTheme="majorEastAsia" w:cstheme="majorEastAsia"/>
          <w:bCs/>
          <w:sz w:val="21"/>
          <w:szCs w:val="21"/>
        </w:rPr>
      </w:pPr>
      <w:r>
        <w:rPr>
          <w:rFonts w:hint="eastAsia" w:asciiTheme="majorEastAsia" w:hAnsiTheme="majorEastAsia" w:eastAsiaTheme="majorEastAsia" w:cstheme="majorEastAsia"/>
          <w:b/>
          <w:sz w:val="21"/>
          <w:szCs w:val="21"/>
        </w:rPr>
        <w:t>（八）理财产品单位净值</w:t>
      </w:r>
      <w:r>
        <w:rPr>
          <w:rFonts w:hint="eastAsia" w:asciiTheme="majorEastAsia" w:hAnsiTheme="majorEastAsia" w:eastAsiaTheme="majorEastAsia" w:cstheme="majorEastAsia"/>
          <w:bCs/>
          <w:sz w:val="21"/>
          <w:szCs w:val="21"/>
        </w:rPr>
        <w:t>：指每份本净值型理财产品的净资产价值。</w:t>
      </w:r>
    </w:p>
    <w:p>
      <w:pPr>
        <w:pStyle w:val="7"/>
        <w:spacing w:before="0" w:after="0"/>
        <w:ind w:firstLine="422" w:firstLineChars="200"/>
        <w:rPr>
          <w:rFonts w:asciiTheme="majorEastAsia" w:hAnsiTheme="majorEastAsia" w:eastAsiaTheme="majorEastAsia" w:cstheme="majorEastAsia"/>
          <w:bCs/>
          <w:sz w:val="21"/>
          <w:szCs w:val="21"/>
        </w:rPr>
      </w:pPr>
      <w:r>
        <w:rPr>
          <w:rFonts w:hint="eastAsia" w:asciiTheme="majorEastAsia" w:hAnsiTheme="majorEastAsia" w:eastAsiaTheme="majorEastAsia" w:cstheme="majorEastAsia"/>
          <w:b/>
          <w:sz w:val="21"/>
          <w:szCs w:val="21"/>
        </w:rPr>
        <w:t>（九）理财产品估值</w:t>
      </w:r>
      <w:r>
        <w:rPr>
          <w:rFonts w:hint="eastAsia" w:asciiTheme="majorEastAsia" w:hAnsiTheme="majorEastAsia" w:eastAsiaTheme="majorEastAsia" w:cstheme="majorEastAsia"/>
          <w:bCs/>
          <w:sz w:val="21"/>
          <w:szCs w:val="21"/>
        </w:rPr>
        <w:t>：指计算评估理财产品资产以确定理财产品单位净值的过程。</w:t>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spacing w:line="360" w:lineRule="auto"/>
        <w:ind w:firstLine="422" w:firstLineChars="200"/>
        <w:rPr>
          <w:rFonts w:ascii="宋体" w:hAnsi="宋体"/>
          <w:b/>
          <w:szCs w:val="21"/>
        </w:rPr>
      </w:pPr>
      <w:r>
        <w:rPr>
          <w:rFonts w:hint="eastAsia" w:ascii="宋体" w:hAnsi="宋体"/>
          <w:b/>
          <w:szCs w:val="21"/>
        </w:rPr>
        <w:t>一、产品概述</w:t>
      </w:r>
    </w:p>
    <w:tbl>
      <w:tblPr>
        <w:tblStyle w:val="9"/>
        <w:tblW w:w="9776" w:type="dxa"/>
        <w:jc w:val="center"/>
        <w:tblInd w:w="0" w:type="dxa"/>
        <w:tblLayout w:type="fixed"/>
        <w:tblCellMar>
          <w:top w:w="0" w:type="dxa"/>
          <w:left w:w="0" w:type="dxa"/>
          <w:bottom w:w="0" w:type="dxa"/>
          <w:right w:w="0" w:type="dxa"/>
        </w:tblCellMar>
      </w:tblPr>
      <w:tblGrid>
        <w:gridCol w:w="1579"/>
        <w:gridCol w:w="8197"/>
      </w:tblGrid>
      <w:tr>
        <w:tblPrEx>
          <w:tblLayout w:type="fixed"/>
          <w:tblCellMar>
            <w:top w:w="0" w:type="dxa"/>
            <w:left w:w="0" w:type="dxa"/>
            <w:bottom w:w="0" w:type="dxa"/>
            <w:right w:w="0" w:type="dxa"/>
          </w:tblCellMar>
        </w:tblPrEx>
        <w:trPr>
          <w:cantSplit/>
          <w:trHeight w:val="328"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产品名称</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rPr>
              <w:t>承德银行“承溢盈”人民币理财产品</w:t>
            </w:r>
            <w:r>
              <w:rPr>
                <w:rFonts w:hint="eastAsia"/>
                <w:lang w:eastAsia="zh-CN"/>
              </w:rPr>
              <w:t>第二百七十</w:t>
            </w:r>
            <w:r>
              <w:rPr>
                <w:rFonts w:hint="eastAsia"/>
                <w:lang w:val="en-US" w:eastAsia="zh-CN"/>
              </w:rPr>
              <w:t>七</w:t>
            </w:r>
            <w:r>
              <w:rPr>
                <w:rFonts w:hint="eastAsia"/>
                <w:lang w:eastAsia="zh-CN"/>
              </w:rPr>
              <w:t>期</w:t>
            </w:r>
          </w:p>
        </w:tc>
      </w:tr>
      <w:tr>
        <w:tblPrEx>
          <w:tblLayout w:type="fixed"/>
          <w:tblCellMar>
            <w:top w:w="0" w:type="dxa"/>
            <w:left w:w="0" w:type="dxa"/>
            <w:bottom w:w="0" w:type="dxa"/>
            <w:right w:w="0" w:type="dxa"/>
          </w:tblCellMar>
        </w:tblPrEx>
        <w:trPr>
          <w:trHeight w:val="303"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产品代码</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hint="default"/>
                <w:lang w:val="en-US" w:eastAsia="zh-CN"/>
              </w:rPr>
            </w:pPr>
            <w:r>
              <w:rPr>
                <w:rFonts w:hint="eastAsia"/>
              </w:rPr>
              <w:t>CYY0</w:t>
            </w:r>
            <w:r>
              <w:rPr>
                <w:rFonts w:hint="eastAsia"/>
                <w:lang w:val="en-US" w:eastAsia="zh-CN"/>
              </w:rPr>
              <w:t>277</w:t>
            </w:r>
          </w:p>
        </w:tc>
      </w:tr>
      <w:tr>
        <w:tblPrEx>
          <w:tblLayout w:type="fixed"/>
          <w:tblCellMar>
            <w:top w:w="0" w:type="dxa"/>
            <w:left w:w="0" w:type="dxa"/>
            <w:bottom w:w="0" w:type="dxa"/>
            <w:right w:w="0" w:type="dxa"/>
          </w:tblCellMar>
        </w:tblPrEx>
        <w:trPr>
          <w:trHeight w:val="687"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登记编码</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lang w:val="en-US" w:eastAsia="zh-CN"/>
              </w:rPr>
              <w:t>C1089224000044</w:t>
            </w:r>
            <w:r>
              <w:t>您可依据该产品编码在中国理财网（www.chinawealth.com.cn）查询产品信息</w:t>
            </w:r>
          </w:p>
        </w:tc>
      </w:tr>
      <w:tr>
        <w:tblPrEx>
          <w:tblLayout w:type="fixed"/>
          <w:tblCellMar>
            <w:top w:w="0" w:type="dxa"/>
            <w:left w:w="0" w:type="dxa"/>
            <w:bottom w:w="0" w:type="dxa"/>
            <w:right w:w="0" w:type="dxa"/>
          </w:tblCellMar>
        </w:tblPrEx>
        <w:trPr>
          <w:trHeight w:val="388"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投资及收益币种</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t>人民币</w:t>
            </w:r>
          </w:p>
        </w:tc>
      </w:tr>
      <w:tr>
        <w:tblPrEx>
          <w:tblLayout w:type="fixed"/>
          <w:tblCellMar>
            <w:top w:w="0" w:type="dxa"/>
            <w:left w:w="0" w:type="dxa"/>
            <w:bottom w:w="0" w:type="dxa"/>
            <w:right w:w="0" w:type="dxa"/>
          </w:tblCellMar>
        </w:tblPrEx>
        <w:trPr>
          <w:trHeight w:val="21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产品类型</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color w:val="000000" w:themeColor="text1"/>
                <w:szCs w:val="21"/>
              </w:rPr>
              <w:t>非保本浮动收益型</w:t>
            </w:r>
          </w:p>
        </w:tc>
      </w:tr>
      <w:tr>
        <w:tblPrEx>
          <w:tblLayout w:type="fixed"/>
          <w:tblCellMar>
            <w:top w:w="0" w:type="dxa"/>
            <w:left w:w="0" w:type="dxa"/>
            <w:bottom w:w="0" w:type="dxa"/>
            <w:right w:w="0" w:type="dxa"/>
          </w:tblCellMar>
        </w:tblPrEx>
        <w:trPr>
          <w:trHeight w:val="21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运作模式</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封闭式净值型产品</w:t>
            </w:r>
          </w:p>
        </w:tc>
      </w:tr>
      <w:tr>
        <w:tblPrEx>
          <w:tblLayout w:type="fixed"/>
          <w:tblCellMar>
            <w:top w:w="0" w:type="dxa"/>
            <w:left w:w="0" w:type="dxa"/>
            <w:bottom w:w="0" w:type="dxa"/>
            <w:right w:w="0" w:type="dxa"/>
          </w:tblCellMar>
        </w:tblPrEx>
        <w:trPr>
          <w:trHeight w:val="165"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产品风险等级</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color w:val="000000"/>
                <w:szCs w:val="21"/>
              </w:rPr>
            </w:pPr>
            <w:r>
              <w:rPr>
                <w:rFonts w:hint="eastAsia" w:ascii="宋体" w:hAnsi="宋体"/>
                <w:szCs w:val="21"/>
              </w:rPr>
              <w:t>中低风</w:t>
            </w:r>
            <w:r>
              <w:rPr>
                <w:rFonts w:ascii="宋体" w:hAnsi="宋体"/>
                <w:szCs w:val="21"/>
              </w:rPr>
              <w:t>险</w:t>
            </w:r>
            <w:r>
              <w:rPr>
                <w:rFonts w:hint="eastAsia" w:ascii="宋体" w:hAnsi="宋体"/>
                <w:szCs w:val="21"/>
              </w:rPr>
              <w:t>理财产品</w:t>
            </w:r>
            <w:r>
              <w:rPr>
                <w:rFonts w:hint="eastAsia" w:ascii="宋体" w:hAnsi="宋体"/>
                <w:color w:val="000000"/>
                <w:szCs w:val="21"/>
              </w:rPr>
              <w:t>（二级）</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适合客户类型</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本产品适合客户风险评级为</w:t>
            </w:r>
            <w:r>
              <w:rPr>
                <w:rFonts w:hint="eastAsia" w:ascii="宋体" w:hAnsi="宋体"/>
                <w:sz w:val="22"/>
                <w:szCs w:val="21"/>
              </w:rPr>
              <w:t>【稳健型、平衡型、成长型、进取型】的投资者</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投资性质</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固定收益类产品</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发行对象</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个人投资者</w:t>
            </w:r>
          </w:p>
        </w:tc>
      </w:tr>
      <w:tr>
        <w:tblPrEx>
          <w:tblLayout w:type="fixed"/>
          <w:tblCellMar>
            <w:top w:w="0" w:type="dxa"/>
            <w:left w:w="0" w:type="dxa"/>
            <w:bottom w:w="0" w:type="dxa"/>
            <w:right w:w="0" w:type="dxa"/>
          </w:tblCellMar>
        </w:tblPrEx>
        <w:trPr>
          <w:trHeight w:val="21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募集方式</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公募发行</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募集期</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202</w:t>
            </w:r>
            <w:r>
              <w:rPr>
                <w:rFonts w:hint="eastAsia" w:ascii="宋体" w:hAnsi="宋体"/>
                <w:szCs w:val="21"/>
                <w:lang w:val="en-US" w:eastAsia="zh-CN"/>
              </w:rPr>
              <w:t>4</w:t>
            </w:r>
            <w:r>
              <w:rPr>
                <w:rFonts w:hint="eastAsia" w:ascii="宋体" w:hAnsi="宋体"/>
                <w:szCs w:val="21"/>
              </w:rPr>
              <w:t>年</w:t>
            </w:r>
            <w:r>
              <w:rPr>
                <w:rFonts w:hint="eastAsia" w:ascii="宋体" w:hAnsi="宋体"/>
                <w:szCs w:val="21"/>
                <w:lang w:val="en-US" w:eastAsia="zh-CN"/>
              </w:rPr>
              <w:t>6</w:t>
            </w:r>
            <w:r>
              <w:rPr>
                <w:rFonts w:hint="eastAsia" w:ascii="宋体" w:hAnsi="宋体"/>
                <w:szCs w:val="21"/>
              </w:rPr>
              <w:t>月</w:t>
            </w:r>
            <w:r>
              <w:rPr>
                <w:rFonts w:hint="eastAsia" w:ascii="宋体" w:hAnsi="宋体"/>
                <w:szCs w:val="21"/>
                <w:lang w:val="en-US" w:eastAsia="zh-CN"/>
              </w:rPr>
              <w:t>13</w:t>
            </w:r>
            <w:r>
              <w:rPr>
                <w:rFonts w:hint="eastAsia" w:ascii="宋体" w:hAnsi="宋体"/>
                <w:szCs w:val="21"/>
              </w:rPr>
              <w:t>日10:00到202</w:t>
            </w:r>
            <w:r>
              <w:rPr>
                <w:rFonts w:hint="eastAsia" w:ascii="宋体" w:hAnsi="宋体"/>
                <w:szCs w:val="21"/>
                <w:lang w:val="en-US" w:eastAsia="zh-CN"/>
              </w:rPr>
              <w:t>4</w:t>
            </w:r>
            <w:r>
              <w:rPr>
                <w:rFonts w:hint="eastAsia" w:ascii="宋体" w:hAnsi="宋体"/>
                <w:szCs w:val="21"/>
              </w:rPr>
              <w:t>年</w:t>
            </w:r>
            <w:r>
              <w:rPr>
                <w:rFonts w:hint="eastAsia" w:ascii="宋体" w:hAnsi="宋体"/>
                <w:szCs w:val="21"/>
                <w:lang w:val="en-US" w:eastAsia="zh-CN"/>
              </w:rPr>
              <w:t>6</w:t>
            </w:r>
            <w:r>
              <w:rPr>
                <w:rFonts w:hint="eastAsia" w:ascii="宋体" w:hAnsi="宋体"/>
                <w:szCs w:val="21"/>
              </w:rPr>
              <w:t>月</w:t>
            </w:r>
            <w:r>
              <w:rPr>
                <w:rFonts w:hint="eastAsia" w:ascii="宋体" w:hAnsi="宋体"/>
                <w:szCs w:val="21"/>
                <w:lang w:val="en-US" w:eastAsia="zh-CN"/>
              </w:rPr>
              <w:t>18</w:t>
            </w:r>
            <w:r>
              <w:rPr>
                <w:rFonts w:hint="eastAsia" w:ascii="宋体" w:hAnsi="宋体"/>
                <w:szCs w:val="21"/>
              </w:rPr>
              <w:t>日15：00</w:t>
            </w:r>
          </w:p>
          <w:p>
            <w:pPr>
              <w:ind w:firstLine="420" w:firstLineChars="200"/>
              <w:rPr>
                <w:rFonts w:ascii="宋体" w:hAnsi="宋体"/>
                <w:szCs w:val="21"/>
              </w:rPr>
            </w:pPr>
            <w:r>
              <w:rPr>
                <w:rFonts w:hint="eastAsia" w:ascii="宋体" w:hAnsi="宋体"/>
                <w:szCs w:val="21"/>
              </w:rPr>
              <w:t>客户可在上述时间内进行产品认购，募集期允许认购追加、撤单。募集期内，资金按照活期存款利息计算，募集期内的利息不计入认购本金。根据市场情况，承德银行有权提前结束或延长募集期并成立本产品。</w:t>
            </w:r>
          </w:p>
        </w:tc>
      </w:tr>
      <w:tr>
        <w:tblPrEx>
          <w:tblLayout w:type="fixed"/>
          <w:tblCellMar>
            <w:top w:w="0" w:type="dxa"/>
            <w:left w:w="0" w:type="dxa"/>
            <w:bottom w:w="0" w:type="dxa"/>
            <w:right w:w="0" w:type="dxa"/>
          </w:tblCellMar>
        </w:tblPrEx>
        <w:trPr>
          <w:trHeight w:val="1633"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成立日</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ascii="宋体" w:hAnsi="宋体"/>
                <w:szCs w:val="21"/>
              </w:rPr>
              <w:t>202</w:t>
            </w:r>
            <w:r>
              <w:rPr>
                <w:rFonts w:hint="eastAsia" w:ascii="宋体" w:hAnsi="宋体"/>
                <w:szCs w:val="21"/>
                <w:lang w:val="en-US" w:eastAsia="zh-CN"/>
              </w:rPr>
              <w:t>4</w:t>
            </w:r>
            <w:r>
              <w:rPr>
                <w:rFonts w:hint="eastAsia" w:ascii="宋体" w:hAnsi="宋体"/>
                <w:szCs w:val="21"/>
              </w:rPr>
              <w:t>年</w:t>
            </w:r>
            <w:r>
              <w:rPr>
                <w:rFonts w:hint="eastAsia" w:ascii="宋体" w:hAnsi="宋体"/>
                <w:szCs w:val="21"/>
                <w:lang w:val="en-US" w:eastAsia="zh-CN"/>
              </w:rPr>
              <w:t>6</w:t>
            </w:r>
            <w:r>
              <w:rPr>
                <w:rFonts w:hint="eastAsia" w:ascii="宋体" w:hAnsi="宋体"/>
                <w:szCs w:val="21"/>
              </w:rPr>
              <w:t>月</w:t>
            </w:r>
            <w:r>
              <w:rPr>
                <w:rFonts w:hint="eastAsia" w:ascii="宋体" w:hAnsi="宋体"/>
                <w:szCs w:val="21"/>
                <w:lang w:val="en-US" w:eastAsia="zh-CN"/>
              </w:rPr>
              <w:t>19</w:t>
            </w:r>
            <w:r>
              <w:rPr>
                <w:rFonts w:hint="eastAsia" w:ascii="宋体" w:hAnsi="宋体"/>
                <w:szCs w:val="21"/>
              </w:rPr>
              <w:t>日。但以下两种情形除外：（1）若在募集期届满之前募集资金已经达到产品募集上限，承德银行有权提前结束募集并提前成立该理财产品，产品提前成立时银行将调整成立日期；（2）若在募集期届满之日未达到产品募集上限，则本产品可将募集期顺延，最长7个工作日，成立日相应顺延；若募集期顺延后仍未达到产品募集上限，承德银行有权选择本产品不能成立，理财本金将在募集期结束后3个工作日内返还投资人。</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到期日</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202</w:t>
            </w:r>
            <w:r>
              <w:rPr>
                <w:rFonts w:hint="eastAsia" w:ascii="宋体" w:hAnsi="宋体"/>
                <w:szCs w:val="21"/>
                <w:lang w:val="en-US" w:eastAsia="zh-CN"/>
              </w:rPr>
              <w:t>5</w:t>
            </w:r>
            <w:r>
              <w:rPr>
                <w:rFonts w:hint="eastAsia" w:ascii="宋体" w:hAnsi="宋体"/>
                <w:szCs w:val="21"/>
              </w:rPr>
              <w:t>年</w:t>
            </w:r>
            <w:r>
              <w:rPr>
                <w:rFonts w:hint="eastAsia" w:ascii="宋体" w:hAnsi="宋体"/>
                <w:szCs w:val="21"/>
                <w:lang w:val="en-US" w:eastAsia="zh-CN"/>
              </w:rPr>
              <w:t>6</w:t>
            </w:r>
            <w:r>
              <w:rPr>
                <w:rFonts w:hint="eastAsia" w:ascii="宋体" w:hAnsi="宋体"/>
                <w:szCs w:val="21"/>
              </w:rPr>
              <w:t>月</w:t>
            </w:r>
            <w:r>
              <w:rPr>
                <w:rFonts w:hint="eastAsia" w:ascii="宋体" w:hAnsi="宋体"/>
                <w:szCs w:val="21"/>
                <w:lang w:val="en-US" w:eastAsia="zh-CN"/>
              </w:rPr>
              <w:t>17</w:t>
            </w:r>
            <w:r>
              <w:rPr>
                <w:rFonts w:hint="eastAsia" w:ascii="宋体" w:hAnsi="宋体"/>
                <w:szCs w:val="21"/>
              </w:rPr>
              <w:t>日</w:t>
            </w:r>
            <w:r>
              <w:rPr>
                <w:rFonts w:ascii="宋体" w:hAnsi="宋体"/>
                <w:szCs w:val="21"/>
              </w:rPr>
              <w:t>(实际产品到期日、理财运作期限受制于银行提前终止条款）。产品到期日后3个工作日内将本金和收益划转至投资者指定账户，逢节假日顺延。如因理财产品所投资的标的资产因信用风险、市场风险</w:t>
            </w:r>
            <w:r>
              <w:rPr>
                <w:rFonts w:hint="eastAsia" w:ascii="宋体" w:hAnsi="宋体"/>
                <w:szCs w:val="21"/>
              </w:rPr>
              <w:t>、涉及诉讼或其他原因造成理财产品不能在预计到期日前变现，理财期限将相应延长。</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产品期限</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lang w:val="en-US" w:eastAsia="zh-CN"/>
              </w:rPr>
              <w:t>363</w:t>
            </w:r>
            <w:r>
              <w:rPr>
                <w:rFonts w:hint="eastAsia" w:ascii="宋体" w:hAnsi="宋体"/>
                <w:szCs w:val="21"/>
              </w:rPr>
              <w:t>天</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产品规模</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产品募集上限为</w:t>
            </w:r>
            <w:r>
              <w:rPr>
                <w:rFonts w:hint="eastAsia" w:ascii="宋体" w:hAnsi="宋体"/>
                <w:bCs/>
                <w:szCs w:val="21"/>
                <w:lang w:val="en-US" w:eastAsia="zh-CN"/>
              </w:rPr>
              <w:t>4</w:t>
            </w:r>
            <w:r>
              <w:rPr>
                <w:rFonts w:hint="eastAsia" w:ascii="宋体" w:hAnsi="宋体"/>
                <w:bCs/>
                <w:szCs w:val="21"/>
              </w:rPr>
              <w:t>000万元，产品募集下限为0万元，银行可根据市场和产品运行情况调整产品规模上下限。</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本金及理财收益</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本理财产品不保障本金且不保证理财收益。在理财产品到期前，本理财产品的收益随投资收益浮动。</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理财产品份额</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理财产品份额以人民币计价，单位1份。</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理财产品份额面值</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每份理财产品份额面值为人民币1元。</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认购起点</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1元人民币为1份，首次投资最低份额为1万份；超出首次投资最低份额部分，须为1千份或1千份的整数倍；</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highlight w:val="red"/>
              </w:rPr>
            </w:pPr>
            <w:r>
              <w:rPr>
                <w:rFonts w:hint="eastAsia" w:ascii="宋体" w:hAnsi="宋体"/>
                <w:b/>
                <w:szCs w:val="21"/>
              </w:rPr>
              <w:t>估值日</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color w:val="00B050"/>
                <w:szCs w:val="21"/>
              </w:rPr>
            </w:pPr>
            <w:r>
              <w:rPr>
                <w:rFonts w:hint="eastAsia" w:ascii="宋体" w:hAnsi="宋体"/>
                <w:szCs w:val="21"/>
              </w:rPr>
              <w:t>本理财产品存续期间，每周四及终止日为估值日，如周四为非工作日，则估值日顺延至下一个工作日。承德银行于估值日后3个工作日内公布。</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费用</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1.认购费：本理财产品不收取认购费、赎回费。</w:t>
            </w:r>
          </w:p>
          <w:p>
            <w:pPr>
              <w:ind w:firstLine="420" w:firstLineChars="200"/>
              <w:rPr>
                <w:rFonts w:ascii="宋体" w:hAnsi="宋体"/>
                <w:szCs w:val="21"/>
              </w:rPr>
            </w:pPr>
            <w:r>
              <w:rPr>
                <w:rFonts w:hint="eastAsia" w:ascii="宋体" w:hAnsi="宋体"/>
                <w:szCs w:val="21"/>
              </w:rPr>
              <w:t>2.固定投资管理费：0.</w:t>
            </w:r>
            <w:r>
              <w:rPr>
                <w:rFonts w:hint="eastAsia" w:ascii="宋体" w:hAnsi="宋体"/>
                <w:szCs w:val="21"/>
                <w:lang w:val="en-US" w:eastAsia="zh-CN"/>
              </w:rPr>
              <w:t>35</w:t>
            </w:r>
            <w:r>
              <w:rPr>
                <w:rFonts w:hint="eastAsia" w:ascii="宋体" w:hAnsi="宋体"/>
                <w:szCs w:val="21"/>
              </w:rPr>
              <w:t>%/年。</w:t>
            </w:r>
          </w:p>
          <w:p>
            <w:pPr>
              <w:ind w:firstLine="420" w:firstLineChars="200"/>
              <w:rPr>
                <w:rFonts w:ascii="宋体" w:hAnsi="宋体"/>
                <w:szCs w:val="21"/>
              </w:rPr>
            </w:pPr>
            <w:r>
              <w:rPr>
                <w:rFonts w:hint="eastAsia" w:ascii="宋体" w:hAnsi="宋体"/>
                <w:szCs w:val="21"/>
              </w:rPr>
              <w:t>3.托管费：0.01%/年。</w:t>
            </w:r>
          </w:p>
          <w:p>
            <w:pPr>
              <w:ind w:firstLine="420" w:firstLineChars="200"/>
              <w:rPr>
                <w:rFonts w:ascii="宋体" w:hAnsi="宋体"/>
                <w:szCs w:val="21"/>
              </w:rPr>
            </w:pPr>
            <w:r>
              <w:rPr>
                <w:rFonts w:hint="eastAsia" w:ascii="宋体" w:hAnsi="宋体"/>
                <w:szCs w:val="21"/>
              </w:rPr>
              <w:t>4.浮动投资管理费：产品年化收益率超出业绩比较基准部分的</w:t>
            </w:r>
            <w:r>
              <w:rPr>
                <w:rFonts w:hint="eastAsia" w:ascii="宋体" w:hAnsi="宋体"/>
                <w:color w:val="000000" w:themeColor="text1"/>
                <w:szCs w:val="21"/>
                <w:lang w:val="en-US" w:eastAsia="zh-CN"/>
              </w:rPr>
              <w:t>9</w:t>
            </w:r>
            <w:r>
              <w:rPr>
                <w:rFonts w:hint="eastAsia" w:ascii="宋体" w:hAnsi="宋体"/>
                <w:color w:val="000000" w:themeColor="text1"/>
                <w:szCs w:val="21"/>
              </w:rPr>
              <w:t>0</w:t>
            </w:r>
            <w:r>
              <w:rPr>
                <w:rFonts w:hint="eastAsia" w:ascii="宋体" w:hAnsi="宋体"/>
                <w:szCs w:val="21"/>
              </w:rPr>
              <w:t>%为浮动投资管理费。</w:t>
            </w:r>
          </w:p>
          <w:p>
            <w:pPr>
              <w:ind w:firstLine="420" w:firstLineChars="200"/>
              <w:rPr>
                <w:rFonts w:ascii="宋体" w:hAnsi="宋体"/>
                <w:szCs w:val="21"/>
              </w:rPr>
            </w:pPr>
            <w:r>
              <w:rPr>
                <w:rFonts w:hint="eastAsia" w:ascii="宋体" w:hAnsi="宋体"/>
                <w:szCs w:val="21"/>
              </w:rPr>
              <w:t>5.其他（如有）：投后管理费、交易费用（包括但不限于交易佣金、撮合费用等）、理财产品验资费、审计费、律师费、信息披露费、清算费、执行费用等相关费用，具体以实际发生为准。</w:t>
            </w:r>
          </w:p>
          <w:p>
            <w:pPr>
              <w:ind w:firstLine="420" w:firstLineChars="200"/>
              <w:rPr>
                <w:rFonts w:ascii="宋体" w:hAnsi="宋体"/>
                <w:szCs w:val="21"/>
              </w:rPr>
            </w:pPr>
            <w:r>
              <w:rPr>
                <w:rFonts w:hint="eastAsia" w:ascii="宋体" w:hAnsi="宋体"/>
                <w:szCs w:val="21"/>
              </w:rPr>
              <w:t>6.费用全部精确到小数点后2位</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销售区域</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河北省</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销售渠道</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承</w:t>
            </w:r>
            <w:r>
              <w:rPr>
                <w:rFonts w:ascii="宋体" w:hAnsi="宋体"/>
                <w:szCs w:val="21"/>
              </w:rPr>
              <w:t>德银行各营业</w:t>
            </w:r>
            <w:r>
              <w:rPr>
                <w:rFonts w:hint="eastAsia" w:ascii="宋体" w:hAnsi="宋体"/>
                <w:szCs w:val="21"/>
              </w:rPr>
              <w:t>网</w:t>
            </w:r>
            <w:r>
              <w:rPr>
                <w:rFonts w:ascii="宋体" w:hAnsi="宋体"/>
                <w:szCs w:val="21"/>
              </w:rPr>
              <w:t>点</w:t>
            </w:r>
            <w:r>
              <w:rPr>
                <w:rFonts w:hint="eastAsia" w:ascii="宋体" w:hAnsi="宋体"/>
                <w:szCs w:val="21"/>
              </w:rPr>
              <w:t>、手</w:t>
            </w:r>
            <w:r>
              <w:rPr>
                <w:rFonts w:ascii="宋体" w:hAnsi="宋体"/>
                <w:szCs w:val="21"/>
              </w:rPr>
              <w:t>机银行</w:t>
            </w:r>
            <w:r>
              <w:rPr>
                <w:rFonts w:hint="eastAsia" w:ascii="宋体" w:hAnsi="宋体"/>
                <w:szCs w:val="21"/>
              </w:rPr>
              <w:t>、智能柜台等渠道</w:t>
            </w:r>
          </w:p>
        </w:tc>
      </w:tr>
      <w:tr>
        <w:tblPrEx>
          <w:tblLayout w:type="fixed"/>
          <w:tblCellMar>
            <w:top w:w="0" w:type="dxa"/>
            <w:left w:w="0" w:type="dxa"/>
            <w:bottom w:w="0" w:type="dxa"/>
            <w:right w:w="0" w:type="dxa"/>
          </w:tblCellMar>
        </w:tblPrEx>
        <w:trPr>
          <w:trHeight w:val="1258"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业绩比较基准</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ascii="宋体" w:hAnsi="宋体"/>
                <w:szCs w:val="21"/>
              </w:rPr>
              <w:t>本产品为净值型产品，其业绩表现将随市场波动，具有不确定性。</w:t>
            </w:r>
          </w:p>
          <w:p>
            <w:pPr>
              <w:ind w:firstLine="420" w:firstLineChars="200"/>
              <w:rPr>
                <w:rFonts w:ascii="宋体" w:hAnsi="宋体"/>
                <w:szCs w:val="21"/>
                <w:highlight w:val="yellow"/>
              </w:rPr>
            </w:pPr>
            <w:r>
              <w:rPr>
                <w:rFonts w:hint="eastAsia" w:ascii="宋体" w:hAnsi="宋体"/>
                <w:szCs w:val="21"/>
              </w:rPr>
              <w:t>根据产品说明书约定投资范围内各类资产的收益率水平、投资比例、市场情况进行静态测算和情景分析，产品业绩比较基准为年化：</w:t>
            </w:r>
            <w:r>
              <w:rPr>
                <w:rFonts w:hint="eastAsia" w:ascii="宋体" w:hAnsi="宋体"/>
                <w:szCs w:val="21"/>
                <w:lang w:val="en-US" w:eastAsia="zh-CN"/>
              </w:rPr>
              <w:t>2.95</w:t>
            </w:r>
            <w:bookmarkStart w:id="0" w:name="_GoBack"/>
            <w:bookmarkEnd w:id="0"/>
            <w:r>
              <w:rPr>
                <w:rFonts w:hint="eastAsia" w:ascii="宋体" w:hAnsi="宋体"/>
                <w:szCs w:val="21"/>
              </w:rPr>
              <w:t>%</w:t>
            </w:r>
            <w:r>
              <w:rPr>
                <w:rFonts w:ascii="宋体" w:hAnsi="宋体"/>
                <w:szCs w:val="21"/>
              </w:rPr>
              <w:t>。</w:t>
            </w:r>
          </w:p>
          <w:p>
            <w:pPr>
              <w:ind w:firstLine="420" w:firstLineChars="200"/>
              <w:rPr>
                <w:rFonts w:ascii="宋体" w:hAnsi="宋体"/>
                <w:szCs w:val="21"/>
              </w:rPr>
            </w:pPr>
            <w:r>
              <w:rPr>
                <w:rFonts w:ascii="宋体" w:hAnsi="宋体"/>
                <w:szCs w:val="21"/>
              </w:rPr>
              <w:t>本产品业绩比较基准仅作为计算产品管理人业绩报酬的标准，不构成对该理财产品的任何收益承诺。产品管理人可根据市场情况调整业绩</w:t>
            </w:r>
            <w:r>
              <w:rPr>
                <w:rFonts w:hint="eastAsia" w:ascii="宋体" w:hAnsi="宋体"/>
                <w:szCs w:val="21"/>
              </w:rPr>
              <w:t>比较基准，并至少于调整日之前2个工作日进行公告。</w:t>
            </w:r>
            <w:r>
              <w:rPr>
                <w:rFonts w:ascii="宋体" w:hAnsi="宋体"/>
                <w:szCs w:val="21"/>
              </w:rPr>
              <w:t>理财产品过往业绩不代表其未来表现，不等于理财产品实际收益，投资须谨慎</w:t>
            </w:r>
            <w:r>
              <w:rPr>
                <w:rFonts w:hint="eastAsia" w:ascii="宋体" w:hAnsi="宋体"/>
                <w:szCs w:val="21"/>
              </w:rPr>
              <w:t>。</w:t>
            </w:r>
          </w:p>
        </w:tc>
      </w:tr>
      <w:tr>
        <w:tblPrEx>
          <w:tblLayout w:type="fixed"/>
          <w:tblCellMar>
            <w:top w:w="0" w:type="dxa"/>
            <w:left w:w="0" w:type="dxa"/>
            <w:bottom w:w="0" w:type="dxa"/>
            <w:right w:w="0" w:type="dxa"/>
          </w:tblCellMar>
        </w:tblPrEx>
        <w:trPr>
          <w:trHeight w:val="385"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工作日</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国家法定工作日</w:t>
            </w:r>
          </w:p>
        </w:tc>
      </w:tr>
      <w:tr>
        <w:tblPrEx>
          <w:tblLayout w:type="fixed"/>
          <w:tblCellMar>
            <w:top w:w="0" w:type="dxa"/>
            <w:left w:w="0" w:type="dxa"/>
            <w:bottom w:w="0" w:type="dxa"/>
            <w:right w:w="0" w:type="dxa"/>
          </w:tblCellMar>
        </w:tblPrEx>
        <w:trPr>
          <w:trHeight w:val="465"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提前终止权</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客户无权提前终止该产品。出现本理财产品说明书中的第五条提前终止情形，承德银行有权提前终止本产品。</w:t>
            </w:r>
          </w:p>
        </w:tc>
      </w:tr>
      <w:tr>
        <w:tblPrEx>
          <w:tblLayout w:type="fixed"/>
          <w:tblCellMar>
            <w:top w:w="0" w:type="dxa"/>
            <w:left w:w="0" w:type="dxa"/>
            <w:bottom w:w="0" w:type="dxa"/>
            <w:right w:w="0" w:type="dxa"/>
          </w:tblCellMar>
        </w:tblPrEx>
        <w:trPr>
          <w:trHeight w:val="465"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对账单</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本理财产品提供对账单。投资人需要通过登录手机银行、营业网点等渠道及时了解相关信息公告。投资者因自身原因或不可抗力导致未及时获知本理财产品的运作或收益分配情况，承德银行不承担责任。</w:t>
            </w:r>
          </w:p>
        </w:tc>
      </w:tr>
      <w:tr>
        <w:tblPrEx>
          <w:tblLayout w:type="fixed"/>
          <w:tblCellMar>
            <w:top w:w="0" w:type="dxa"/>
            <w:left w:w="0" w:type="dxa"/>
            <w:bottom w:w="0" w:type="dxa"/>
            <w:right w:w="0" w:type="dxa"/>
          </w:tblCellMar>
        </w:tblPrEx>
        <w:trPr>
          <w:trHeight w:val="369"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税款</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本理财产品运作过程中涉及的各纳税主体，其纳税义务按国家税收法律、法规执行。除法律法规特别要求外，承德银行暂不负责代扣代缴客户购买本产品所得收益应缴纳的各项税款。若相关法律法规、税收政策规定产品管理人应代扣代缴相关税款，承德银行有权依法履行代扣代缴义务。</w:t>
            </w:r>
          </w:p>
        </w:tc>
      </w:tr>
      <w:tr>
        <w:tblPrEx>
          <w:tblLayout w:type="fixed"/>
          <w:tblCellMar>
            <w:top w:w="0" w:type="dxa"/>
            <w:left w:w="0" w:type="dxa"/>
            <w:bottom w:w="0" w:type="dxa"/>
            <w:right w:w="0" w:type="dxa"/>
          </w:tblCellMar>
        </w:tblPrEx>
        <w:trPr>
          <w:trHeight w:val="1763"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其他条款</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pStyle w:val="3"/>
              <w:ind w:firstLine="420" w:firstLineChars="200"/>
              <w:rPr>
                <w:rFonts w:ascii="宋体" w:hAnsi="宋体"/>
                <w:szCs w:val="21"/>
              </w:rPr>
            </w:pPr>
            <w:r>
              <w:rPr>
                <w:rFonts w:hint="eastAsia" w:ascii="宋体" w:hAnsi="宋体"/>
                <w:szCs w:val="21"/>
              </w:rPr>
              <w:t>1、理财产品可以质押，</w:t>
            </w:r>
            <w:r>
              <w:rPr>
                <w:rFonts w:hint="eastAsia"/>
              </w:rPr>
              <w:t>可以开具个人投资理财产品证明</w:t>
            </w:r>
            <w:r>
              <w:rPr>
                <w:rFonts w:hint="eastAsia" w:ascii="宋体" w:hAnsi="宋体"/>
                <w:szCs w:val="21"/>
              </w:rPr>
              <w:t>。</w:t>
            </w:r>
          </w:p>
          <w:p>
            <w:pPr>
              <w:ind w:firstLine="420" w:firstLineChars="200"/>
              <w:rPr>
                <w:rFonts w:ascii="宋体" w:hAnsi="宋体"/>
                <w:szCs w:val="21"/>
              </w:rPr>
            </w:pPr>
            <w:r>
              <w:rPr>
                <w:rFonts w:ascii="宋体" w:hAnsi="宋体"/>
                <w:szCs w:val="21"/>
              </w:rPr>
              <w:t>2、所有符合本理财产品投资要求的投资者均可通过承德银行各营业网点</w:t>
            </w:r>
            <w:r>
              <w:rPr>
                <w:rFonts w:hint="eastAsia" w:ascii="宋体" w:hAnsi="宋体"/>
                <w:szCs w:val="21"/>
              </w:rPr>
              <w:t>及</w:t>
            </w:r>
            <w:r>
              <w:rPr>
                <w:rFonts w:ascii="宋体" w:hAnsi="宋体"/>
                <w:szCs w:val="21"/>
              </w:rPr>
              <w:t>手机银行</w:t>
            </w:r>
            <w:r>
              <w:rPr>
                <w:rFonts w:hint="eastAsia" w:ascii="宋体" w:hAnsi="宋体"/>
                <w:szCs w:val="21"/>
              </w:rPr>
              <w:t>等渠道办理产品认购。</w:t>
            </w:r>
          </w:p>
          <w:p>
            <w:pPr>
              <w:ind w:firstLine="420" w:firstLineChars="200"/>
            </w:pPr>
            <w:r>
              <w:rPr>
                <w:rFonts w:hint="eastAsia" w:ascii="宋体" w:hAnsi="宋体"/>
                <w:szCs w:val="21"/>
              </w:rPr>
              <w:t>3、本产品信息披露将通过我行网站（www.chengdebank.com）和各营业网点等渠道公布，客户也可以通过我行客服中心</w:t>
            </w:r>
            <w:r>
              <w:rPr>
                <w:rFonts w:ascii="宋体" w:hAnsi="宋体"/>
                <w:szCs w:val="21"/>
              </w:rPr>
              <w:t>0314-</w:t>
            </w:r>
            <w:r>
              <w:rPr>
                <w:rFonts w:hint="eastAsia" w:ascii="宋体" w:hAnsi="宋体"/>
                <w:szCs w:val="21"/>
              </w:rPr>
              <w:t>96368进行咨询。</w:t>
            </w:r>
          </w:p>
        </w:tc>
      </w:tr>
    </w:tbl>
    <w:p>
      <w:pPr>
        <w:spacing w:line="400" w:lineRule="exact"/>
        <w:ind w:firstLine="422" w:firstLineChars="200"/>
        <w:outlineLvl w:val="0"/>
        <w:rPr>
          <w:rFonts w:ascii="宋体" w:hAnsi="宋体"/>
          <w:b/>
          <w:bCs/>
          <w:szCs w:val="21"/>
        </w:rPr>
      </w:pPr>
      <w:r>
        <w:rPr>
          <w:rFonts w:hint="eastAsia" w:ascii="宋体" w:hAnsi="宋体"/>
          <w:b/>
          <w:bCs/>
          <w:szCs w:val="21"/>
        </w:rPr>
        <w:t>二、投资范围及参与主体</w:t>
      </w:r>
    </w:p>
    <w:p>
      <w:pPr>
        <w:spacing w:line="400" w:lineRule="exact"/>
        <w:ind w:firstLine="420" w:firstLineChars="200"/>
        <w:outlineLvl w:val="0"/>
        <w:rPr>
          <w:rFonts w:ascii="宋体" w:hAnsi="宋体"/>
          <w:szCs w:val="21"/>
        </w:rPr>
      </w:pPr>
      <w:r>
        <w:rPr>
          <w:rFonts w:hint="eastAsia" w:ascii="宋体" w:hAnsi="宋体"/>
          <w:szCs w:val="21"/>
        </w:rPr>
        <w:t>1、投资范围</w:t>
      </w:r>
    </w:p>
    <w:p>
      <w:pPr>
        <w:spacing w:line="400" w:lineRule="exact"/>
        <w:ind w:firstLine="420" w:firstLineChars="200"/>
        <w:outlineLvl w:val="0"/>
        <w:rPr>
          <w:rFonts w:ascii="宋体" w:hAnsi="宋体"/>
          <w:szCs w:val="21"/>
        </w:rPr>
      </w:pPr>
      <w:r>
        <w:rPr>
          <w:rFonts w:hint="eastAsia" w:ascii="宋体" w:hAnsi="宋体"/>
          <w:szCs w:val="21"/>
        </w:rPr>
        <w:t>本理财产品募集的资金直接或间接投资于以下金融资产和金融工具，包括但不限于：</w:t>
      </w:r>
    </w:p>
    <w:p>
      <w:pPr>
        <w:spacing w:line="400" w:lineRule="exact"/>
        <w:ind w:firstLine="420" w:firstLineChars="200"/>
        <w:outlineLvl w:val="0"/>
        <w:rPr>
          <w:rFonts w:ascii="宋体" w:hAnsi="宋体"/>
          <w:szCs w:val="21"/>
        </w:rPr>
      </w:pPr>
      <w:r>
        <w:rPr>
          <w:rFonts w:hint="eastAsia" w:ascii="宋体" w:hAnsi="宋体"/>
          <w:szCs w:val="21"/>
        </w:rPr>
        <w:t>固定收益类资产: 包括但不限于银行存款、大额存单、资金拆借、债券逆回购、同业存单、在证券交易所、银行间市场交易的国债、地方政府债、企业债券、公司债券（含可转换债券、可交换债券、分离交易可转债、永续公司债等）、非公开发行公司债、各类金融债（含混合资本债、二级资本债等）、中央银行票据、经银行间市场交易商协会批准注册发行的各类债务融资工具（如短期融资券、中期票据（含永续中票等）、集合票据、集合债券、非公开定向债务融资工具（PPN）等）、上市公司定向债、资产证券化产品（资产支持证券（ABS）、资产支持票据（ABN））、项目收益债、银行永续债、货币基金、债券型基金</w:t>
      </w:r>
      <w:r>
        <w:rPr>
          <w:rFonts w:hint="eastAsia" w:ascii="宋体" w:hAnsi="宋体"/>
          <w:szCs w:val="21"/>
          <w:lang w:eastAsia="zh-CN"/>
        </w:rPr>
        <w:t>、</w:t>
      </w:r>
      <w:r>
        <w:rPr>
          <w:rFonts w:hint="eastAsia" w:ascii="宋体" w:hAnsi="宋体"/>
          <w:szCs w:val="21"/>
          <w:highlight w:val="none"/>
          <w:lang w:val="en-US" w:eastAsia="zh-CN"/>
        </w:rPr>
        <w:t>公募基金、黄金ETF、股票型基金</w:t>
      </w:r>
      <w:r>
        <w:rPr>
          <w:rFonts w:hint="eastAsia" w:ascii="宋体" w:hAnsi="宋体"/>
          <w:szCs w:val="21"/>
        </w:rPr>
        <w:t>等，以及主要投资于标准化债权资产的资产管理计划或信托计划等；非标准化债权资产包括但不限于同业借款、信托贷款、应收账款、收益权转让、收益凭证等。</w:t>
      </w:r>
    </w:p>
    <w:p>
      <w:pPr>
        <w:spacing w:line="400" w:lineRule="exact"/>
        <w:ind w:firstLine="420" w:firstLineChars="200"/>
        <w:outlineLvl w:val="0"/>
        <w:rPr>
          <w:rFonts w:ascii="宋体" w:hAnsi="宋体"/>
          <w:szCs w:val="21"/>
        </w:rPr>
      </w:pPr>
      <w:r>
        <w:rPr>
          <w:rFonts w:hint="eastAsia" w:ascii="宋体" w:hAnsi="宋体"/>
          <w:szCs w:val="21"/>
        </w:rPr>
        <w:t>本理财产品可以进行债券正回购交易。如存在法律法规或监管机构以后允许投资其他品种的，管理人在履行适当程序后，可以将其纳入本理财产品的投资范围。</w:t>
      </w:r>
    </w:p>
    <w:p>
      <w:pPr>
        <w:spacing w:line="400" w:lineRule="exact"/>
        <w:ind w:firstLine="420" w:firstLineChars="200"/>
        <w:outlineLvl w:val="0"/>
        <w:rPr>
          <w:rFonts w:ascii="宋体" w:hAnsi="宋体"/>
          <w:szCs w:val="21"/>
        </w:rPr>
      </w:pPr>
      <w:r>
        <w:rPr>
          <w:rFonts w:hint="eastAsia" w:ascii="宋体" w:hAnsi="宋体"/>
          <w:szCs w:val="21"/>
        </w:rPr>
        <w:t>在遵循相关法律法规、监管规则及本产品说明书约定，避免不公平交易、利益输送等违法违规行为的前提下，投资者知晓并同意本理财产品的投资对象可能包括理财产品管理人/托管人及其关联方发行、承销、管理的符合本理财产品投资范围规定的投资产品，本理财产品可能与理财产品管理人/托管人及其关联方、理财产品管理人/托管人及其关联方管理的投资组合之间互为交易对手或从事其他类型的关联交易。</w:t>
      </w:r>
    </w:p>
    <w:p>
      <w:pPr>
        <w:spacing w:line="400" w:lineRule="exact"/>
        <w:ind w:firstLine="420" w:firstLineChars="200"/>
        <w:outlineLvl w:val="0"/>
        <w:rPr>
          <w:rFonts w:ascii="宋体" w:hAnsi="宋体"/>
          <w:szCs w:val="21"/>
        </w:rPr>
      </w:pPr>
      <w:r>
        <w:rPr>
          <w:rFonts w:hint="eastAsia" w:ascii="宋体" w:hAnsi="宋体"/>
          <w:szCs w:val="21"/>
        </w:rPr>
        <w:t>2、各投资品种占净资产的计划配置比例如下：</w:t>
      </w:r>
    </w:p>
    <w:tbl>
      <w:tblPr>
        <w:tblStyle w:val="9"/>
        <w:tblW w:w="9727" w:type="dxa"/>
        <w:tblInd w:w="3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832"/>
        <w:gridCol w:w="48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c>
          <w:tcPr>
            <w:tcW w:w="4832" w:type="dxa"/>
            <w:noWrap/>
          </w:tcPr>
          <w:p>
            <w:pPr>
              <w:spacing w:line="400" w:lineRule="exact"/>
              <w:jc w:val="center"/>
              <w:rPr>
                <w:rFonts w:ascii="宋体" w:hAnsi="宋体"/>
                <w:kern w:val="0"/>
                <w:szCs w:val="21"/>
              </w:rPr>
            </w:pPr>
            <w:r>
              <w:rPr>
                <w:rFonts w:hint="eastAsia" w:ascii="宋体" w:hAnsi="宋体"/>
                <w:kern w:val="0"/>
                <w:szCs w:val="21"/>
              </w:rPr>
              <w:t>投资品种及杠杆比例</w:t>
            </w:r>
          </w:p>
        </w:tc>
        <w:tc>
          <w:tcPr>
            <w:tcW w:w="4895" w:type="dxa"/>
            <w:noWrap/>
          </w:tcPr>
          <w:p>
            <w:pPr>
              <w:spacing w:line="400" w:lineRule="exact"/>
              <w:jc w:val="center"/>
              <w:rPr>
                <w:rFonts w:ascii="宋体" w:hAnsi="宋体"/>
                <w:kern w:val="0"/>
                <w:szCs w:val="21"/>
              </w:rPr>
            </w:pPr>
            <w:r>
              <w:rPr>
                <w:rFonts w:hint="eastAsia" w:ascii="宋体" w:hAnsi="宋体"/>
                <w:kern w:val="0"/>
                <w:szCs w:val="21"/>
              </w:rPr>
              <w:t>计划配置比例（占净资产的比重）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jc w:val="center"/>
              <w:rPr>
                <w:rFonts w:ascii="宋体" w:hAnsi="宋体"/>
                <w:kern w:val="0"/>
                <w:szCs w:val="21"/>
              </w:rPr>
            </w:pPr>
            <w:r>
              <w:rPr>
                <w:rFonts w:hint="eastAsia" w:ascii="宋体" w:hAnsi="宋体"/>
                <w:kern w:val="0"/>
                <w:szCs w:val="21"/>
              </w:rPr>
              <w:t>固定收益类资产</w:t>
            </w:r>
          </w:p>
        </w:tc>
        <w:tc>
          <w:tcPr>
            <w:tcW w:w="4895" w:type="dxa"/>
            <w:noWrap/>
          </w:tcPr>
          <w:p>
            <w:pPr>
              <w:spacing w:line="400" w:lineRule="exact"/>
              <w:jc w:val="center"/>
              <w:rPr>
                <w:rFonts w:ascii="宋体" w:hAnsi="宋体"/>
                <w:kern w:val="0"/>
                <w:szCs w:val="21"/>
              </w:rPr>
            </w:pPr>
            <w:r>
              <w:rPr>
                <w:rFonts w:hint="eastAsia" w:ascii="宋体" w:hAnsi="宋体"/>
                <w:kern w:val="0"/>
                <w:szCs w:val="21"/>
              </w:rPr>
              <w:t>不低于80%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jc w:val="center"/>
              <w:rPr>
                <w:rFonts w:ascii="宋体" w:hAnsi="宋体"/>
                <w:kern w:val="0"/>
                <w:sz w:val="18"/>
                <w:szCs w:val="21"/>
              </w:rPr>
            </w:pPr>
            <w:r>
              <w:rPr>
                <w:rFonts w:hint="eastAsia" w:ascii="宋体" w:hAnsi="宋体"/>
                <w:kern w:val="0"/>
                <w:szCs w:val="21"/>
              </w:rPr>
              <w:t>总资产与产品净资产的比例</w:t>
            </w:r>
          </w:p>
        </w:tc>
        <w:tc>
          <w:tcPr>
            <w:tcW w:w="4895" w:type="dxa"/>
            <w:noWrap/>
          </w:tcPr>
          <w:p>
            <w:pPr>
              <w:spacing w:line="400" w:lineRule="exact"/>
              <w:jc w:val="center"/>
              <w:rPr>
                <w:rFonts w:ascii="宋体" w:hAnsi="宋体"/>
                <w:kern w:val="0"/>
                <w:szCs w:val="21"/>
              </w:rPr>
            </w:pPr>
            <w:r>
              <w:rPr>
                <w:rFonts w:hint="eastAsia" w:ascii="宋体" w:hAnsi="宋体"/>
                <w:kern w:val="0"/>
                <w:szCs w:val="21"/>
              </w:rPr>
              <w:t>不超过200%</w:t>
            </w:r>
          </w:p>
        </w:tc>
      </w:tr>
    </w:tbl>
    <w:p>
      <w:pPr>
        <w:spacing w:line="400" w:lineRule="exact"/>
        <w:ind w:firstLine="420" w:firstLineChars="200"/>
        <w:outlineLvl w:val="0"/>
        <w:rPr>
          <w:rFonts w:ascii="宋体" w:hAnsi="宋体"/>
          <w:szCs w:val="21"/>
        </w:rPr>
      </w:pPr>
      <w:r>
        <w:rPr>
          <w:rFonts w:hint="eastAsia" w:ascii="宋体" w:hAnsi="宋体"/>
          <w:szCs w:val="21"/>
        </w:rPr>
        <w:t>相关法律法规和监管部门对以上投资范围和配置比例另有规定的，按照监管最新规定执行。如监管对投资比例无其他明确规定和要求的，由产品管理人和托管人协商确定计算方法。非承德银行主观因素导致突破前述比例限制的，承德银行将尽力在流动性受限资产可出售、可转让或者恢复交易的15个交易日内调整至符合相关要求，国务院银行业监督管理机构规定的特殊情形除外。对于法律法规或监管机构允许的范围内，管理人在履行适当程序后，可以调整投资比例。</w:t>
      </w:r>
    </w:p>
    <w:p>
      <w:pPr>
        <w:spacing w:line="400" w:lineRule="exact"/>
        <w:ind w:firstLine="420" w:firstLineChars="200"/>
        <w:outlineLvl w:val="0"/>
        <w:rPr>
          <w:rFonts w:ascii="宋体" w:hAnsi="宋体"/>
          <w:szCs w:val="21"/>
        </w:rPr>
      </w:pPr>
      <w:r>
        <w:rPr>
          <w:rFonts w:hint="eastAsia" w:ascii="宋体" w:hAnsi="宋体"/>
          <w:szCs w:val="21"/>
        </w:rPr>
        <w:t>3.投资策略和目标</w:t>
      </w:r>
    </w:p>
    <w:p>
      <w:pPr>
        <w:spacing w:line="400" w:lineRule="exact"/>
        <w:ind w:firstLine="420" w:firstLineChars="200"/>
        <w:outlineLvl w:val="0"/>
        <w:rPr>
          <w:rFonts w:ascii="宋体" w:hAnsi="宋体"/>
          <w:szCs w:val="21"/>
        </w:rPr>
      </w:pPr>
      <w:r>
        <w:rPr>
          <w:rFonts w:hint="eastAsia" w:ascii="宋体" w:hAnsi="宋体"/>
          <w:szCs w:val="21"/>
        </w:rPr>
        <w:t>本产品主要投资于债券等固定收益类资产，旨在风险可控的前提下，以固定票息为主要收益来源，获得相对稳定收益。加强对宏观经济走势、利率走势的判断，通过债券交易、杠杆增强等操作，增厚产品收益，力争获得资产的稳健增值。</w:t>
      </w:r>
    </w:p>
    <w:p>
      <w:pPr>
        <w:spacing w:line="400" w:lineRule="exact"/>
        <w:ind w:firstLine="420" w:firstLineChars="200"/>
        <w:outlineLvl w:val="0"/>
        <w:rPr>
          <w:rFonts w:ascii="宋体" w:hAnsi="宋体"/>
          <w:szCs w:val="21"/>
        </w:rPr>
      </w:pPr>
      <w:r>
        <w:rPr>
          <w:rFonts w:hint="eastAsia" w:ascii="宋体" w:hAnsi="宋体"/>
          <w:szCs w:val="21"/>
        </w:rPr>
        <w:t>4、参与主体</w:t>
      </w:r>
    </w:p>
    <w:p>
      <w:pPr>
        <w:spacing w:line="400" w:lineRule="exact"/>
        <w:ind w:firstLine="420" w:firstLineChars="200"/>
        <w:outlineLvl w:val="0"/>
        <w:rPr>
          <w:rFonts w:ascii="宋体" w:hAnsi="宋体"/>
          <w:szCs w:val="21"/>
        </w:rPr>
      </w:pPr>
      <w:r>
        <w:rPr>
          <w:rFonts w:hint="eastAsia" w:ascii="宋体" w:hAnsi="宋体"/>
          <w:szCs w:val="21"/>
        </w:rPr>
        <w:t>理财产品投资管理人：承德银行股份有限公司；</w:t>
      </w:r>
    </w:p>
    <w:p>
      <w:pPr>
        <w:spacing w:line="400" w:lineRule="exact"/>
        <w:ind w:firstLine="420" w:firstLineChars="200"/>
        <w:outlineLvl w:val="0"/>
        <w:rPr>
          <w:rFonts w:ascii="宋体" w:hAnsi="宋体"/>
          <w:szCs w:val="21"/>
        </w:rPr>
      </w:pPr>
      <w:r>
        <w:rPr>
          <w:rFonts w:hint="eastAsia" w:ascii="宋体" w:hAnsi="宋体"/>
          <w:szCs w:val="21"/>
        </w:rPr>
        <w:t>理财产品托管人：宁波银行股份有限公司；</w:t>
      </w:r>
    </w:p>
    <w:p>
      <w:pPr>
        <w:spacing w:line="400" w:lineRule="exact"/>
        <w:ind w:firstLine="420" w:firstLineChars="200"/>
        <w:outlineLvl w:val="0"/>
        <w:rPr>
          <w:rFonts w:ascii="宋体" w:hAnsi="宋体"/>
          <w:szCs w:val="21"/>
        </w:rPr>
      </w:pPr>
      <w:r>
        <w:rPr>
          <w:rFonts w:hint="eastAsia" w:ascii="宋体" w:hAnsi="宋体"/>
          <w:szCs w:val="21"/>
        </w:rPr>
        <w:t>理财产品托管人主要职责包括保管理财产品财产，为理财产品开立账户，执行理财产品资金划拨指令，建立与管理人的对账机制，复核产品净值，监督理财产品投资运作等。</w:t>
      </w:r>
    </w:p>
    <w:p>
      <w:pPr>
        <w:spacing w:line="400" w:lineRule="exact"/>
        <w:ind w:firstLine="420" w:firstLineChars="200"/>
        <w:outlineLvl w:val="0"/>
        <w:rPr>
          <w:rFonts w:hint="eastAsia" w:ascii="宋体" w:hAnsi="宋体"/>
          <w:szCs w:val="21"/>
        </w:rPr>
      </w:pPr>
      <w:r>
        <w:rPr>
          <w:rFonts w:hint="eastAsia" w:ascii="宋体" w:hAnsi="宋体"/>
          <w:szCs w:val="21"/>
        </w:rPr>
        <w:t>合作机构：</w:t>
      </w:r>
      <w:r>
        <w:rPr>
          <w:rFonts w:hint="eastAsia" w:ascii="宋体" w:hAnsi="宋体"/>
          <w:szCs w:val="21"/>
          <w:lang w:val="en-US" w:eastAsia="zh-CN"/>
        </w:rPr>
        <w:t>江苏省国际信托有限责任公司、中国国际金融股份有限公司、上海国际信托有限公司、首创证券股份有限公司、广发证券资产管理有限公司、国金证券股份有限公司、光大兴陇信托有限责任公司、国泰君安证券股份有限公司、广发证券资产管理（广东）有限公司、东方财富证券股份有限公司、国寿安保基金管理有限公司、河北省金融租赁有限公司、广发基金管理有限公司、平安基金管理有限公司、秦皇岛银行股份有限公司、平安银行股份有限公司、易方达基金管理有限公司等。</w:t>
      </w:r>
    </w:p>
    <w:p>
      <w:pPr>
        <w:spacing w:line="400" w:lineRule="exact"/>
        <w:ind w:firstLine="420" w:firstLineChars="200"/>
        <w:outlineLvl w:val="0"/>
        <w:rPr>
          <w:rFonts w:ascii="宋体" w:hAnsi="宋体"/>
          <w:szCs w:val="21"/>
        </w:rPr>
      </w:pPr>
      <w:r>
        <w:rPr>
          <w:rFonts w:hint="eastAsia" w:ascii="宋体" w:hAnsi="宋体"/>
          <w:szCs w:val="21"/>
        </w:rPr>
        <w:t>合作机构的主要职责包括：报送资产管理计划产品运行信息，管理和运用资产管理计划财产，对投资者的风险识别能力和风险承受能力进行评估，确定收益分配方案，及时向投资者分配收益等。</w:t>
      </w:r>
    </w:p>
    <w:p>
      <w:pPr>
        <w:spacing w:line="400" w:lineRule="exact"/>
        <w:ind w:firstLine="422" w:firstLineChars="200"/>
        <w:outlineLvl w:val="0"/>
      </w:pPr>
      <w:r>
        <w:rPr>
          <w:rFonts w:hint="eastAsia" w:ascii="宋体" w:hAnsi="宋体"/>
          <w:b/>
          <w:bCs/>
          <w:szCs w:val="21"/>
        </w:rPr>
        <w:t>三、理财产品估值</w:t>
      </w:r>
    </w:p>
    <w:p>
      <w:pPr>
        <w:spacing w:line="400" w:lineRule="exact"/>
        <w:ind w:firstLine="420" w:firstLineChars="200"/>
        <w:outlineLvl w:val="0"/>
        <w:rPr>
          <w:rFonts w:ascii="宋体" w:hAnsi="宋体"/>
          <w:szCs w:val="21"/>
        </w:rPr>
      </w:pPr>
      <w:r>
        <w:rPr>
          <w:rFonts w:hint="eastAsia" w:ascii="宋体" w:hAnsi="宋体"/>
          <w:szCs w:val="21"/>
        </w:rPr>
        <w:t>本理财产品收益率随投资收益变化，本理财产品存续期间，每周四为估值日，如周四为非工作日，则估值日顺延至下一个工作日。承德银行在估值日扣除理财产品承担的各项费用、税费后，计算理财产品份额净值，并在估值日后3个工作日内通过“信息披露”约定的渠道发布理财产品份额净值。理财产品份额净值精确到小数点后4位，小数点以后四舍五入。</w:t>
      </w:r>
    </w:p>
    <w:p>
      <w:pPr>
        <w:spacing w:line="400" w:lineRule="exact"/>
        <w:ind w:firstLine="420" w:firstLineChars="200"/>
        <w:outlineLvl w:val="0"/>
        <w:rPr>
          <w:rFonts w:ascii="宋体" w:hAnsi="宋体"/>
          <w:szCs w:val="21"/>
        </w:rPr>
      </w:pPr>
      <w:r>
        <w:rPr>
          <w:rFonts w:hint="eastAsia" w:ascii="宋体" w:hAnsi="宋体"/>
          <w:szCs w:val="21"/>
        </w:rPr>
        <w:t>理财产品份额净值指1份理财产品份额以人民币计价的价格。</w:t>
      </w:r>
    </w:p>
    <w:p>
      <w:pPr>
        <w:spacing w:line="400" w:lineRule="exact"/>
        <w:ind w:firstLine="420" w:firstLineChars="200"/>
        <w:outlineLvl w:val="0"/>
        <w:rPr>
          <w:rFonts w:ascii="宋体" w:hAnsi="宋体"/>
          <w:szCs w:val="21"/>
        </w:rPr>
      </w:pPr>
      <w:r>
        <w:rPr>
          <w:rFonts w:hint="eastAsia" w:ascii="宋体" w:hAnsi="宋体"/>
          <w:szCs w:val="21"/>
        </w:rPr>
        <w:t>A日理财产品份额净值=【A日理财产品总财产-理财产品总负债（含理财产品应负担的费用）】/A日理财产品总份额</w:t>
      </w:r>
    </w:p>
    <w:p>
      <w:pPr>
        <w:spacing w:line="400" w:lineRule="exact"/>
        <w:ind w:firstLine="420" w:firstLineChars="200"/>
        <w:outlineLvl w:val="0"/>
        <w:rPr>
          <w:rFonts w:ascii="宋体" w:hAnsi="宋体"/>
          <w:szCs w:val="21"/>
        </w:rPr>
      </w:pPr>
      <w:r>
        <w:rPr>
          <w:rFonts w:hint="eastAsia" w:ascii="宋体" w:hAnsi="宋体"/>
          <w:szCs w:val="21"/>
        </w:rPr>
        <w:t>（一）估值方法</w:t>
      </w:r>
    </w:p>
    <w:p>
      <w:pPr>
        <w:spacing w:line="400" w:lineRule="exact"/>
        <w:ind w:firstLine="420" w:firstLineChars="200"/>
        <w:outlineLvl w:val="0"/>
        <w:rPr>
          <w:rFonts w:ascii="宋体" w:hAnsi="宋体"/>
          <w:szCs w:val="21"/>
        </w:rPr>
      </w:pPr>
      <w:r>
        <w:rPr>
          <w:rFonts w:hint="eastAsia" w:ascii="宋体" w:hAnsi="宋体"/>
          <w:szCs w:val="21"/>
        </w:rPr>
        <w:t>1.在证券交易所和全国银行间市场交易的公募债券按第三方估值机构（中债、中证等）提供的估值数据估值，具体第三方估值机构由管理人和托管行具体协商确定。以收取合同现金流量为目的并持有到期的，采用摊余成本法估值。如监管另有规定的，按照监管的最新规定进行调整。如最近交易日后市场环境发生了重大变化或债券发行主体发生重大事件等，导致债券价格发生重大变化的或导致债券发行主体无法履行应尽偿债义务的，经管理人合理判断后，参考第三方估值机构提供的估值数据、市场价格及债券发行主体实际状况等，对该债券的价值进行重估，并合理确定随后该债券遵循的估值方法。</w:t>
      </w:r>
    </w:p>
    <w:p>
      <w:pPr>
        <w:spacing w:line="400" w:lineRule="exact"/>
        <w:ind w:firstLine="420" w:firstLineChars="200"/>
        <w:outlineLvl w:val="0"/>
        <w:rPr>
          <w:rFonts w:ascii="宋体" w:hAnsi="宋体"/>
          <w:szCs w:val="21"/>
        </w:rPr>
      </w:pPr>
      <w:r>
        <w:rPr>
          <w:rFonts w:hint="eastAsia" w:ascii="宋体" w:hAnsi="宋体"/>
          <w:szCs w:val="21"/>
        </w:rPr>
        <w:t>2.交易所上市未实行净价交易的债券按估值日收盘全价或第三方估值机构提供的相应品种当日的估值全价减去收盘价或估值全价中所含的债券应收利息得到的净价进行估值。</w:t>
      </w:r>
    </w:p>
    <w:p>
      <w:pPr>
        <w:spacing w:line="400" w:lineRule="exact"/>
        <w:ind w:firstLine="420" w:firstLineChars="200"/>
        <w:outlineLvl w:val="0"/>
        <w:rPr>
          <w:rFonts w:ascii="宋体" w:hAnsi="宋体"/>
          <w:szCs w:val="21"/>
        </w:rPr>
      </w:pPr>
      <w:r>
        <w:rPr>
          <w:rFonts w:hint="eastAsia" w:ascii="宋体" w:hAnsi="宋体"/>
          <w:szCs w:val="21"/>
        </w:rPr>
        <w:t>3.投资于信托计划、资产管理计划、基金</w:t>
      </w:r>
      <w:r>
        <w:rPr>
          <w:rFonts w:hint="eastAsia" w:ascii="宋体" w:hAnsi="宋体"/>
          <w:szCs w:val="21"/>
          <w:lang w:eastAsia="zh-CN"/>
        </w:rPr>
        <w:t>、</w:t>
      </w:r>
      <w:r>
        <w:rPr>
          <w:rFonts w:hint="eastAsia" w:ascii="宋体" w:hAnsi="宋体"/>
          <w:color w:val="auto"/>
          <w:szCs w:val="21"/>
          <w:lang w:val="en-US" w:eastAsia="zh-CN"/>
        </w:rPr>
        <w:t>收益凭证</w:t>
      </w:r>
      <w:r>
        <w:rPr>
          <w:rFonts w:hint="eastAsia" w:ascii="宋体" w:hAnsi="宋体"/>
          <w:color w:val="auto"/>
          <w:szCs w:val="21"/>
        </w:rPr>
        <w:t>等</w:t>
      </w:r>
      <w:r>
        <w:rPr>
          <w:rFonts w:hint="eastAsia" w:ascii="宋体" w:hAnsi="宋体"/>
          <w:szCs w:val="21"/>
        </w:rPr>
        <w:t>资产：</w:t>
      </w:r>
    </w:p>
    <w:p>
      <w:pPr>
        <w:spacing w:line="400" w:lineRule="exact"/>
        <w:ind w:firstLine="420" w:firstLineChars="200"/>
        <w:outlineLvl w:val="0"/>
        <w:rPr>
          <w:rFonts w:ascii="宋体" w:hAnsi="宋体"/>
          <w:szCs w:val="21"/>
        </w:rPr>
      </w:pPr>
      <w:r>
        <w:rPr>
          <w:rFonts w:hint="eastAsia" w:ascii="宋体" w:hAnsi="宋体"/>
          <w:szCs w:val="21"/>
        </w:rPr>
        <w:t>按照合约约定的估值方案，以信托计划的受托人、资产管理计划或基金的管理人等和资产托管人共同确认的净值或投资收益情况进行估值。</w:t>
      </w:r>
    </w:p>
    <w:p>
      <w:pPr>
        <w:spacing w:line="400" w:lineRule="exact"/>
        <w:ind w:firstLine="420" w:firstLineChars="200"/>
        <w:outlineLvl w:val="0"/>
        <w:rPr>
          <w:rFonts w:ascii="宋体" w:hAnsi="宋体"/>
          <w:szCs w:val="21"/>
        </w:rPr>
      </w:pPr>
      <w:r>
        <w:rPr>
          <w:rFonts w:hint="eastAsia" w:ascii="宋体" w:hAnsi="宋体"/>
          <w:szCs w:val="21"/>
        </w:rPr>
        <w:t>4.对于无活跃公开交易的非标准化债权资产、同业存款等，按照成本法估值。如非标准化债权资产存续期间发生影响资产未来现金流的重大事件的，经管理人合理判断对资产价值进行重估。</w:t>
      </w:r>
    </w:p>
    <w:p>
      <w:pPr>
        <w:spacing w:line="400" w:lineRule="exact"/>
        <w:ind w:firstLine="420" w:firstLineChars="200"/>
        <w:outlineLvl w:val="0"/>
        <w:rPr>
          <w:rFonts w:ascii="宋体" w:hAnsi="宋体"/>
          <w:szCs w:val="21"/>
        </w:rPr>
      </w:pPr>
      <w:r>
        <w:rPr>
          <w:rFonts w:hint="eastAsia" w:ascii="宋体" w:hAnsi="宋体"/>
          <w:szCs w:val="21"/>
        </w:rPr>
        <w:t>5.债券回购和拆借按成本估值，逐日计提利息。</w:t>
      </w:r>
    </w:p>
    <w:p>
      <w:pPr>
        <w:spacing w:line="400" w:lineRule="exact"/>
        <w:ind w:firstLine="420" w:firstLineChars="200"/>
        <w:outlineLvl w:val="0"/>
        <w:rPr>
          <w:rFonts w:ascii="宋体" w:hAnsi="宋体"/>
          <w:szCs w:val="21"/>
        </w:rPr>
      </w:pPr>
      <w:r>
        <w:rPr>
          <w:rFonts w:hint="eastAsia" w:ascii="宋体" w:hAnsi="宋体"/>
          <w:szCs w:val="21"/>
        </w:rPr>
        <w:t>6.投资证券投资基金的估值方法：</w:t>
      </w:r>
    </w:p>
    <w:p>
      <w:pPr>
        <w:spacing w:line="400" w:lineRule="exact"/>
        <w:ind w:firstLine="420" w:firstLineChars="200"/>
        <w:outlineLvl w:val="0"/>
        <w:rPr>
          <w:rFonts w:ascii="宋体" w:hAnsi="宋体"/>
          <w:szCs w:val="21"/>
          <w:highlight w:val="yellow"/>
        </w:rPr>
      </w:pPr>
      <w:r>
        <w:rPr>
          <w:rFonts w:hint="eastAsia" w:ascii="宋体" w:hAnsi="宋体"/>
          <w:szCs w:val="21"/>
        </w:rPr>
        <w:t>A对于交易所上市的ETF基金、定期开放式基金、封闭式基金，按其所在证券交易所的收盘价估值。</w:t>
      </w:r>
    </w:p>
    <w:p>
      <w:pPr>
        <w:spacing w:line="400" w:lineRule="exact"/>
        <w:ind w:firstLine="420" w:firstLineChars="200"/>
        <w:outlineLvl w:val="0"/>
        <w:rPr>
          <w:rFonts w:ascii="宋体" w:hAnsi="宋体"/>
          <w:szCs w:val="21"/>
        </w:rPr>
      </w:pPr>
      <w:r>
        <w:rPr>
          <w:rFonts w:hint="eastAsia" w:ascii="宋体" w:hAnsi="宋体"/>
          <w:szCs w:val="21"/>
        </w:rPr>
        <w:t>B对于交易所上市的开放式基金（LOF），按所投资基金的基金管理人披露的估值日份额净值进行估值。</w:t>
      </w:r>
    </w:p>
    <w:p>
      <w:pPr>
        <w:spacing w:line="400" w:lineRule="exact"/>
        <w:ind w:firstLine="420" w:firstLineChars="200"/>
        <w:outlineLvl w:val="0"/>
        <w:rPr>
          <w:rFonts w:ascii="宋体" w:hAnsi="宋体"/>
          <w:szCs w:val="21"/>
        </w:rPr>
      </w:pPr>
      <w:r>
        <w:rPr>
          <w:rFonts w:hint="eastAsia" w:ascii="宋体" w:hAnsi="宋体"/>
          <w:szCs w:val="21"/>
        </w:rPr>
        <w:t>C对于交易所上市交易型货币市场基金，如基金管理人披露份额净值，则按所投资基金的基金管理人披露的估值日份额净值进行估值；如基金管理人披露万份（百份）收益，则按所投资基金前一估值日至估值日期间（含节假日）的万份（百份）收益计提收益。</w:t>
      </w:r>
    </w:p>
    <w:p>
      <w:pPr>
        <w:spacing w:line="400" w:lineRule="exact"/>
        <w:ind w:firstLine="420" w:firstLineChars="200"/>
        <w:outlineLvl w:val="0"/>
        <w:rPr>
          <w:rFonts w:ascii="宋体" w:hAnsi="宋体"/>
          <w:szCs w:val="21"/>
        </w:rPr>
      </w:pPr>
      <w:r>
        <w:rPr>
          <w:rFonts w:hint="eastAsia" w:ascii="宋体" w:hAnsi="宋体"/>
          <w:szCs w:val="21"/>
        </w:rPr>
        <w:t>D对于未在交易所上市的场外基金，按估值日的基金份额净值估值。</w:t>
      </w:r>
    </w:p>
    <w:p>
      <w:pPr>
        <w:spacing w:line="400" w:lineRule="exact"/>
        <w:ind w:firstLine="420" w:firstLineChars="200"/>
        <w:outlineLvl w:val="0"/>
        <w:rPr>
          <w:rFonts w:ascii="宋体" w:hAnsi="宋体"/>
          <w:szCs w:val="21"/>
        </w:rPr>
      </w:pPr>
      <w:r>
        <w:rPr>
          <w:rFonts w:hint="eastAsia" w:ascii="宋体" w:hAnsi="宋体"/>
          <w:szCs w:val="21"/>
        </w:rPr>
        <w:t>E对于未在交易所上市的货币市场基金，按基金管理公司披露的估值日每万份收益计提收益。</w:t>
      </w:r>
    </w:p>
    <w:p>
      <w:pPr>
        <w:spacing w:line="400" w:lineRule="exact"/>
        <w:ind w:firstLine="420" w:firstLineChars="200"/>
        <w:outlineLvl w:val="0"/>
        <w:rPr>
          <w:rFonts w:ascii="宋体" w:hAnsi="宋体"/>
          <w:szCs w:val="21"/>
        </w:rPr>
      </w:pPr>
      <w:r>
        <w:rPr>
          <w:rFonts w:hint="eastAsia" w:ascii="宋体" w:hAnsi="宋体"/>
          <w:szCs w:val="21"/>
        </w:rPr>
        <w:t>F如所遇投资基金不公布基金份额净值、进行拆算或拆分，估值日无交易等特殊情况，应根据以下原则估值：以所投资基金的基金份额净值估值的，若所投资基金与理财产品估值频露不一致但未公布估值日基金份额净值，以其最近公布的基金份额净值为基础估值。以所投资基金的收盘价估值的，如估值日无交易，且最近交易日后市场环境未发生重大变化，以最近交易日的收盘价估值。如最近交易日后市场环境发生了重大变化的，可使用最新的基金份额净值为基础或参考类似投资品种的现行市价及重大变化因素调整最近交易市价，确定公允价值。如果所投资基金前一估值日至估值日期间发生分红除权、拆算或拆分，应根据基金份额净值或收盘价、单位基金份额分红金额、折算拆分比例、持仓份额等因素合理确定公允价值。</w:t>
      </w:r>
    </w:p>
    <w:p>
      <w:pPr>
        <w:spacing w:line="400" w:lineRule="exact"/>
        <w:ind w:firstLine="420" w:firstLineChars="200"/>
        <w:outlineLvl w:val="0"/>
        <w:rPr>
          <w:rFonts w:ascii="宋体" w:hAnsi="宋体"/>
          <w:szCs w:val="21"/>
        </w:rPr>
      </w:pPr>
      <w:r>
        <w:rPr>
          <w:rFonts w:hint="eastAsia" w:ascii="宋体" w:hAnsi="宋体"/>
          <w:szCs w:val="21"/>
        </w:rPr>
        <w:t>7.若理财产品存续期间持有其他投资品种，以理财产品管理人和理财产品托管人共同认可的方法估值。</w:t>
      </w:r>
    </w:p>
    <w:p>
      <w:pPr>
        <w:spacing w:line="400" w:lineRule="exact"/>
        <w:ind w:firstLine="420" w:firstLineChars="200"/>
        <w:outlineLvl w:val="0"/>
        <w:rPr>
          <w:rFonts w:ascii="宋体" w:hAnsi="宋体"/>
          <w:szCs w:val="21"/>
        </w:rPr>
      </w:pPr>
      <w:r>
        <w:rPr>
          <w:rFonts w:hint="eastAsia" w:ascii="宋体" w:hAnsi="宋体"/>
          <w:szCs w:val="21"/>
        </w:rPr>
        <w:t>8.在任何情况下，如采用以上规定的方法对资产进行估值，均应认为采用了适当的估值方法。如管理人有证据表明按上述规定不能客观反映理财产品资产公允价值的，管理人可根据具体情况，在综合考虑市场成交价、市场报价、流动性、收益率曲线等多种因素基础上，按最能反映理财产品资产公允价值的方法估值。</w:t>
      </w:r>
    </w:p>
    <w:p>
      <w:pPr>
        <w:spacing w:line="400" w:lineRule="exact"/>
        <w:ind w:firstLine="420" w:firstLineChars="200"/>
        <w:outlineLvl w:val="0"/>
        <w:rPr>
          <w:rFonts w:ascii="宋体" w:hAnsi="宋体"/>
          <w:szCs w:val="21"/>
        </w:rPr>
      </w:pPr>
      <w:r>
        <w:rPr>
          <w:rFonts w:hint="eastAsia" w:ascii="宋体" w:hAnsi="宋体"/>
          <w:szCs w:val="21"/>
        </w:rPr>
        <w:t>9.对于以上估值方法，相关法律法规以及监管部门有另行规定的，按照监管最新规定执行。如监管并无明确规定和要求的，由产品管理人与托管人协商确定计算方法。</w:t>
      </w:r>
    </w:p>
    <w:p>
      <w:pPr>
        <w:spacing w:line="400" w:lineRule="exact"/>
        <w:ind w:firstLine="420" w:firstLineChars="200"/>
        <w:outlineLvl w:val="0"/>
        <w:rPr>
          <w:rFonts w:ascii="宋体" w:hAnsi="宋体"/>
          <w:szCs w:val="21"/>
        </w:rPr>
      </w:pPr>
      <w:r>
        <w:rPr>
          <w:rFonts w:hint="eastAsia" w:ascii="宋体" w:hAnsi="宋体"/>
          <w:szCs w:val="21"/>
        </w:rPr>
        <w:t>10.承德银行按以上估值方法进行估值时，所造成的误差不作为理财产品单位资产净值错误处理。</w:t>
      </w:r>
    </w:p>
    <w:p>
      <w:pPr>
        <w:spacing w:line="400" w:lineRule="exact"/>
        <w:ind w:firstLine="420" w:firstLineChars="200"/>
        <w:outlineLvl w:val="0"/>
        <w:rPr>
          <w:rFonts w:ascii="宋体" w:hAnsi="宋体"/>
          <w:szCs w:val="21"/>
        </w:rPr>
      </w:pPr>
      <w:r>
        <w:rPr>
          <w:rFonts w:hint="eastAsia" w:ascii="宋体" w:hAnsi="宋体"/>
          <w:szCs w:val="21"/>
        </w:rPr>
        <w:t>11.扣除项：应由理财产品承担的产品管理费用、资产服务费用和税款。</w:t>
      </w:r>
    </w:p>
    <w:p>
      <w:pPr>
        <w:spacing w:line="400" w:lineRule="exact"/>
        <w:ind w:firstLine="420" w:firstLineChars="200"/>
        <w:outlineLvl w:val="0"/>
        <w:rPr>
          <w:rFonts w:ascii="宋体" w:hAnsi="宋体"/>
          <w:szCs w:val="21"/>
        </w:rPr>
      </w:pPr>
      <w:r>
        <w:rPr>
          <w:rFonts w:hint="eastAsia" w:ascii="宋体" w:hAnsi="宋体"/>
          <w:szCs w:val="21"/>
        </w:rPr>
        <w:t>（二）暂停估值的情形</w:t>
      </w:r>
    </w:p>
    <w:p>
      <w:pPr>
        <w:spacing w:line="400" w:lineRule="exact"/>
        <w:ind w:firstLine="420" w:firstLineChars="200"/>
        <w:outlineLvl w:val="0"/>
        <w:rPr>
          <w:rFonts w:ascii="宋体" w:hAnsi="宋体"/>
          <w:szCs w:val="21"/>
        </w:rPr>
      </w:pPr>
      <w:r>
        <w:rPr>
          <w:rFonts w:hint="eastAsia" w:ascii="宋体" w:hAnsi="宋体"/>
          <w:szCs w:val="21"/>
        </w:rPr>
        <w:t>1.理财产品投资所涉及的交易市场遇法定节假日或因其他原因暂停营业时暂停估值，该种情况理财产品估值日期顺延下一个交易日；</w:t>
      </w:r>
    </w:p>
    <w:p>
      <w:pPr>
        <w:spacing w:line="400" w:lineRule="exact"/>
        <w:ind w:firstLine="420" w:firstLineChars="200"/>
        <w:outlineLvl w:val="0"/>
        <w:rPr>
          <w:rFonts w:ascii="宋体" w:hAnsi="宋体"/>
          <w:szCs w:val="21"/>
        </w:rPr>
      </w:pPr>
      <w:r>
        <w:rPr>
          <w:rFonts w:hint="eastAsia" w:ascii="宋体" w:hAnsi="宋体"/>
          <w:szCs w:val="21"/>
        </w:rPr>
        <w:t>2.因不可抗力或其他情形致使理财产品管理人、理财产品托管人无法准确评估资产价值时；</w:t>
      </w:r>
    </w:p>
    <w:p>
      <w:pPr>
        <w:spacing w:line="400" w:lineRule="exact"/>
        <w:ind w:firstLine="420" w:firstLineChars="200"/>
        <w:outlineLvl w:val="0"/>
        <w:rPr>
          <w:rFonts w:ascii="宋体" w:hAnsi="宋体"/>
          <w:szCs w:val="21"/>
        </w:rPr>
      </w:pPr>
      <w:r>
        <w:rPr>
          <w:rFonts w:hint="eastAsia" w:ascii="宋体" w:hAnsi="宋体"/>
          <w:szCs w:val="21"/>
        </w:rPr>
        <w:t>3.理财产品投资的信托计划/资管计划合同约定暂停估值的情形发生，导致理财产品无法估值的；</w:t>
      </w:r>
    </w:p>
    <w:p>
      <w:pPr>
        <w:spacing w:line="400" w:lineRule="exact"/>
        <w:ind w:firstLine="420" w:firstLineChars="200"/>
        <w:outlineLvl w:val="0"/>
        <w:rPr>
          <w:rFonts w:ascii="宋体" w:hAnsi="宋体"/>
          <w:szCs w:val="21"/>
        </w:rPr>
      </w:pPr>
      <w:r>
        <w:rPr>
          <w:rFonts w:hint="eastAsia" w:ascii="宋体" w:hAnsi="宋体"/>
          <w:szCs w:val="21"/>
        </w:rPr>
        <w:t>4.占理财产品相当比例的投资品种的估值出现重大转变，而管理人为保障投资者的利益，已决定延迟估值；</w:t>
      </w:r>
    </w:p>
    <w:p>
      <w:pPr>
        <w:spacing w:line="400" w:lineRule="exact"/>
        <w:ind w:firstLine="420" w:firstLineChars="200"/>
        <w:outlineLvl w:val="0"/>
        <w:rPr>
          <w:rFonts w:ascii="宋体" w:hAnsi="宋体"/>
          <w:szCs w:val="21"/>
        </w:rPr>
      </w:pPr>
      <w:r>
        <w:rPr>
          <w:rFonts w:hint="eastAsia" w:ascii="宋体" w:hAnsi="宋体"/>
          <w:szCs w:val="21"/>
        </w:rPr>
        <w:t>5.承德银行有合理理由认为将影响本理财产品估值的其他情形发生。</w:t>
      </w:r>
    </w:p>
    <w:p>
      <w:pPr>
        <w:spacing w:line="400" w:lineRule="exact"/>
        <w:ind w:firstLine="420" w:firstLineChars="200"/>
        <w:outlineLvl w:val="0"/>
        <w:rPr>
          <w:rFonts w:ascii="宋体" w:hAnsi="宋体"/>
          <w:szCs w:val="21"/>
        </w:rPr>
      </w:pPr>
      <w:r>
        <w:rPr>
          <w:rFonts w:hint="eastAsia" w:ascii="宋体" w:hAnsi="宋体"/>
          <w:szCs w:val="21"/>
        </w:rPr>
        <w:t>（三）估值错误的处理</w:t>
      </w:r>
    </w:p>
    <w:p>
      <w:pPr>
        <w:spacing w:line="400" w:lineRule="exact"/>
        <w:ind w:firstLine="420" w:firstLineChars="200"/>
        <w:outlineLvl w:val="0"/>
        <w:rPr>
          <w:rFonts w:ascii="宋体" w:hAnsi="宋体"/>
          <w:szCs w:val="21"/>
        </w:rPr>
      </w:pPr>
      <w:r>
        <w:rPr>
          <w:rFonts w:hint="eastAsia" w:ascii="宋体" w:hAnsi="宋体"/>
          <w:szCs w:val="21"/>
        </w:rPr>
        <w:t>理财产品管理人和理财产品托管人将采取必要、适当、合理的措施确保理财产品估值的准确性、及时性。</w:t>
      </w:r>
    </w:p>
    <w:p>
      <w:pPr>
        <w:spacing w:line="400" w:lineRule="exact"/>
        <w:ind w:firstLine="420" w:firstLineChars="200"/>
        <w:outlineLvl w:val="0"/>
        <w:rPr>
          <w:rFonts w:ascii="宋体" w:hAnsi="宋体"/>
          <w:szCs w:val="21"/>
        </w:rPr>
      </w:pPr>
      <w:r>
        <w:rPr>
          <w:rFonts w:hint="eastAsia" w:ascii="宋体" w:hAnsi="宋体"/>
          <w:szCs w:val="21"/>
          <w:lang w:val="zh-CN"/>
        </w:rPr>
        <w:t>1</w:t>
      </w:r>
      <w:r>
        <w:rPr>
          <w:rFonts w:hint="eastAsia" w:ascii="宋体" w:hAnsi="宋体"/>
          <w:szCs w:val="21"/>
        </w:rPr>
        <w:t>.估值错误处理原则</w:t>
      </w:r>
    </w:p>
    <w:p>
      <w:pPr>
        <w:spacing w:line="400" w:lineRule="exact"/>
        <w:ind w:firstLine="420" w:firstLineChars="200"/>
        <w:outlineLvl w:val="0"/>
        <w:rPr>
          <w:rFonts w:ascii="宋体" w:hAnsi="宋体"/>
          <w:szCs w:val="21"/>
        </w:rPr>
      </w:pPr>
      <w:r>
        <w:rPr>
          <w:rFonts w:hint="eastAsia" w:ascii="宋体" w:hAnsi="宋体"/>
          <w:szCs w:val="21"/>
        </w:rPr>
        <w:t>(1)由于理财产品管理人或理财产品托管人自身的过错造成估值错误，导致投资者遭受损失的，由估值错误责任方按照各自过错程度对该估值错误导致投资者遭受的直接损失给予赔偿，承担赔偿责任。</w:t>
      </w:r>
    </w:p>
    <w:p>
      <w:pPr>
        <w:spacing w:line="400" w:lineRule="exact"/>
        <w:ind w:firstLine="420" w:firstLineChars="200"/>
        <w:outlineLvl w:val="0"/>
        <w:rPr>
          <w:rFonts w:ascii="宋体" w:hAnsi="宋体"/>
          <w:szCs w:val="21"/>
        </w:rPr>
      </w:pPr>
      <w:r>
        <w:rPr>
          <w:rFonts w:hint="eastAsia" w:ascii="宋体" w:hAnsi="宋体"/>
          <w:szCs w:val="21"/>
        </w:rPr>
        <w:t>(2)对于因技术原因引起的差错，若系同行业现有技术水平无法预见、无法避免、无法抗拒，属不可抗力。因不可抗力原因出现差错的当事人不对投资者承担赔偿责任，但因该差错取得不当得利的投资者仍应负有返还不当得利的义务。</w:t>
      </w:r>
    </w:p>
    <w:p>
      <w:pPr>
        <w:spacing w:line="400" w:lineRule="exact"/>
        <w:ind w:firstLine="420" w:firstLineChars="200"/>
        <w:outlineLvl w:val="0"/>
        <w:rPr>
          <w:rFonts w:ascii="宋体" w:hAnsi="宋体"/>
          <w:szCs w:val="21"/>
        </w:rPr>
      </w:pPr>
      <w:r>
        <w:rPr>
          <w:rFonts w:hint="eastAsia" w:ascii="宋体" w:hAnsi="宋体"/>
          <w:szCs w:val="21"/>
        </w:rPr>
        <w:t>(3)因理财产品托管人估值错误造成财产损失时，理财产品管理人应向托管人追偿。若理财产品管理人和理财产品托管人之外的估值方出现差错造成财产的损失，并拒绝进行赔偿时，理财产品由理财产品管理人负责向差错方追偿:追偿过程中产生的有关费用，应列入理财产品费用，由理财产品承担。</w:t>
      </w:r>
    </w:p>
    <w:p>
      <w:pPr>
        <w:spacing w:line="400" w:lineRule="exact"/>
        <w:ind w:firstLine="420" w:firstLineChars="200"/>
        <w:outlineLvl w:val="0"/>
        <w:rPr>
          <w:rFonts w:ascii="宋体" w:hAnsi="宋体"/>
          <w:szCs w:val="21"/>
        </w:rPr>
      </w:pPr>
      <w:r>
        <w:rPr>
          <w:rFonts w:hint="eastAsia" w:ascii="宋体" w:hAnsi="宋体"/>
          <w:szCs w:val="21"/>
        </w:rPr>
        <w:t>(4)当估值出现错误时，因估值错误而获得不当得利的投资者负有及时返还不当得利的义务。</w:t>
      </w:r>
    </w:p>
    <w:p>
      <w:pPr>
        <w:spacing w:line="400" w:lineRule="exact"/>
        <w:ind w:firstLine="420" w:firstLineChars="200"/>
        <w:outlineLvl w:val="0"/>
        <w:rPr>
          <w:rFonts w:ascii="宋体" w:hAnsi="宋体"/>
          <w:szCs w:val="21"/>
        </w:rPr>
      </w:pPr>
      <w:r>
        <w:rPr>
          <w:rFonts w:hint="eastAsia" w:ascii="宋体" w:hAnsi="宋体"/>
          <w:szCs w:val="21"/>
        </w:rPr>
        <w:t>(5)按法律法规规定的其他原则处理估值错误。</w:t>
      </w:r>
    </w:p>
    <w:p>
      <w:pPr>
        <w:spacing w:line="400" w:lineRule="exact"/>
        <w:ind w:firstLine="420" w:firstLineChars="200"/>
        <w:outlineLvl w:val="0"/>
        <w:rPr>
          <w:rFonts w:ascii="宋体" w:hAnsi="宋体"/>
          <w:szCs w:val="21"/>
        </w:rPr>
      </w:pPr>
      <w:r>
        <w:rPr>
          <w:rFonts w:hint="eastAsia" w:ascii="宋体" w:hAnsi="宋体"/>
          <w:szCs w:val="21"/>
        </w:rPr>
        <w:t>2.估值错误处理程序</w:t>
      </w:r>
    </w:p>
    <w:p>
      <w:pPr>
        <w:spacing w:line="400" w:lineRule="exact"/>
        <w:ind w:firstLine="420" w:firstLineChars="200"/>
        <w:outlineLvl w:val="0"/>
        <w:rPr>
          <w:rFonts w:ascii="宋体" w:hAnsi="宋体"/>
          <w:szCs w:val="21"/>
        </w:rPr>
      </w:pPr>
      <w:r>
        <w:rPr>
          <w:rFonts w:hint="eastAsia" w:ascii="宋体" w:hAnsi="宋体"/>
          <w:szCs w:val="21"/>
        </w:rPr>
        <w:t>估值错误被发现后，理财产品管理人和理财产品托管人应当及时进行处理，处理的程序如下:</w:t>
      </w:r>
    </w:p>
    <w:p>
      <w:pPr>
        <w:spacing w:line="400" w:lineRule="exact"/>
        <w:ind w:firstLine="420" w:firstLineChars="200"/>
        <w:outlineLvl w:val="0"/>
        <w:rPr>
          <w:rFonts w:ascii="宋体" w:hAnsi="宋体"/>
          <w:szCs w:val="21"/>
          <w:highlight w:val="yellow"/>
        </w:rPr>
      </w:pPr>
      <w:r>
        <w:rPr>
          <w:rFonts w:hint="eastAsia" w:ascii="宋体" w:hAnsi="宋体"/>
          <w:szCs w:val="21"/>
        </w:rPr>
        <w:t>(1)查明估值错误发生的原因，列明所有的管理人和托管人并根据估值错误发生的原因确定估值错误的责任方。</w:t>
      </w:r>
    </w:p>
    <w:p>
      <w:pPr>
        <w:spacing w:line="400" w:lineRule="exact"/>
        <w:ind w:firstLine="420" w:firstLineChars="200"/>
        <w:outlineLvl w:val="0"/>
        <w:rPr>
          <w:rFonts w:ascii="宋体" w:hAnsi="宋体"/>
          <w:szCs w:val="21"/>
          <w:highlight w:val="yellow"/>
        </w:rPr>
      </w:pPr>
      <w:r>
        <w:rPr>
          <w:rFonts w:hint="eastAsia" w:ascii="宋体" w:hAnsi="宋体"/>
          <w:szCs w:val="21"/>
        </w:rPr>
        <w:t>(2)根据估值错误处理原则对因估值错误造成的损失进行评估。</w:t>
      </w:r>
    </w:p>
    <w:p>
      <w:pPr>
        <w:spacing w:line="400" w:lineRule="exact"/>
        <w:ind w:firstLine="420" w:firstLineChars="200"/>
        <w:outlineLvl w:val="0"/>
        <w:rPr>
          <w:rFonts w:ascii="宋体" w:hAnsi="宋体"/>
          <w:szCs w:val="21"/>
        </w:rPr>
      </w:pPr>
      <w:r>
        <w:rPr>
          <w:rFonts w:hint="eastAsia" w:ascii="宋体" w:hAnsi="宋体"/>
          <w:szCs w:val="21"/>
        </w:rPr>
        <w:t>(3)根据理财产品管理人和理财产品托管人协商的方法，由理财产品管理人和理财产品托管人共同进行更正，由估值错误的责任方进行赔偿损失。</w:t>
      </w:r>
    </w:p>
    <w:p>
      <w:pPr>
        <w:spacing w:line="400" w:lineRule="exact"/>
        <w:ind w:firstLine="420" w:firstLineChars="200"/>
        <w:outlineLvl w:val="0"/>
        <w:rPr>
          <w:rFonts w:ascii="宋体" w:hAnsi="宋体"/>
          <w:szCs w:val="21"/>
        </w:rPr>
      </w:pPr>
      <w:r>
        <w:rPr>
          <w:rFonts w:hint="eastAsia" w:ascii="宋体" w:hAnsi="宋体"/>
          <w:szCs w:val="21"/>
        </w:rPr>
        <w:t>（四）特殊情况的处理</w:t>
      </w:r>
    </w:p>
    <w:p>
      <w:pPr>
        <w:spacing w:line="400" w:lineRule="exact"/>
        <w:ind w:firstLine="420" w:firstLineChars="200"/>
        <w:outlineLvl w:val="0"/>
        <w:rPr>
          <w:rFonts w:ascii="宋体" w:hAnsi="宋体"/>
          <w:szCs w:val="21"/>
        </w:rPr>
      </w:pPr>
      <w:r>
        <w:rPr>
          <w:rFonts w:hint="eastAsia" w:ascii="宋体" w:hAnsi="宋体"/>
          <w:szCs w:val="21"/>
        </w:rPr>
        <w:t>(1)由于不可抗力原因，或由于证券交易所、期货交易所、第三方估值机构、信托公司、基金公司等发送数据错误等非理财产品管理人和理财产品托管人原因，理财产品管理人和托管人虽然已经采取必要、适当、合理的措施进行检查，但未能发现错误的，由此造成的估值错误，理财产品管理人和理财产品托管人免除赔偿责任。但理财产品管理人、理财产品托管人应当积极采取必要的措施减轻或消除由此造成的影响。</w:t>
      </w:r>
    </w:p>
    <w:p>
      <w:pPr>
        <w:spacing w:line="400" w:lineRule="exact"/>
        <w:ind w:firstLine="420" w:firstLineChars="200"/>
        <w:outlineLvl w:val="0"/>
        <w:rPr>
          <w:rFonts w:ascii="宋体" w:hAnsi="宋体"/>
          <w:szCs w:val="21"/>
        </w:rPr>
      </w:pPr>
      <w:r>
        <w:rPr>
          <w:rFonts w:hint="eastAsia" w:ascii="宋体" w:hAnsi="宋体"/>
          <w:szCs w:val="21"/>
        </w:rPr>
        <w:t>(2)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spacing w:line="400" w:lineRule="exact"/>
        <w:ind w:firstLine="422" w:firstLineChars="200"/>
        <w:outlineLvl w:val="0"/>
        <w:rPr>
          <w:rFonts w:ascii="宋体" w:hAnsi="宋体"/>
          <w:b/>
          <w:bCs/>
          <w:szCs w:val="21"/>
        </w:rPr>
      </w:pPr>
      <w:r>
        <w:rPr>
          <w:rFonts w:hint="eastAsia" w:ascii="宋体" w:hAnsi="宋体"/>
          <w:b/>
          <w:bCs/>
          <w:szCs w:val="21"/>
        </w:rPr>
        <w:t>四、理财利益分配</w:t>
      </w:r>
    </w:p>
    <w:p>
      <w:pPr>
        <w:spacing w:line="400" w:lineRule="exact"/>
        <w:ind w:firstLine="420" w:firstLineChars="200"/>
        <w:outlineLvl w:val="0"/>
        <w:rPr>
          <w:rFonts w:ascii="宋体" w:hAnsi="宋体"/>
          <w:szCs w:val="21"/>
        </w:rPr>
      </w:pPr>
      <w:r>
        <w:rPr>
          <w:rFonts w:hint="eastAsia" w:ascii="宋体" w:hAnsi="宋体"/>
          <w:szCs w:val="21"/>
        </w:rPr>
        <w:t>1.本理财产品到期如因理财产品所投资的标的资产因信用风险、市场风险等原因造成理财产品不能按时还本付息，理财期限将相应延长。</w:t>
      </w:r>
    </w:p>
    <w:p>
      <w:pPr>
        <w:spacing w:line="400" w:lineRule="exact"/>
        <w:ind w:firstLine="420" w:firstLineChars="200"/>
        <w:outlineLvl w:val="0"/>
        <w:rPr>
          <w:rFonts w:ascii="宋体" w:hAnsi="宋体"/>
          <w:szCs w:val="21"/>
        </w:rPr>
      </w:pPr>
      <w:r>
        <w:rPr>
          <w:rFonts w:hint="eastAsia" w:ascii="宋体" w:hAnsi="宋体"/>
          <w:szCs w:val="21"/>
        </w:rPr>
        <w:t>2.投资者持有本理财产品期间及到期时，承德银行不承诺保证本金安全且不保证理财收益，投资者在到期日的应得收益(如有)随投资盈亏水平浮动。</w:t>
      </w:r>
    </w:p>
    <w:p>
      <w:pPr>
        <w:spacing w:line="400" w:lineRule="exact"/>
        <w:ind w:firstLine="420" w:firstLineChars="200"/>
        <w:outlineLvl w:val="0"/>
        <w:rPr>
          <w:rFonts w:ascii="宋体" w:hAnsi="宋体"/>
          <w:szCs w:val="21"/>
        </w:rPr>
      </w:pPr>
      <w:r>
        <w:rPr>
          <w:rFonts w:hint="eastAsia" w:ascii="宋体" w:hAnsi="宋体"/>
          <w:szCs w:val="21"/>
        </w:rPr>
        <w:t>3.理财产品项下财产正常变现情况下，投资者理财产品预计到期日应得资金(如有，下同)，计算公式如下:</w:t>
      </w:r>
    </w:p>
    <w:p>
      <w:pPr>
        <w:spacing w:line="400" w:lineRule="exact"/>
        <w:ind w:firstLine="420" w:firstLineChars="200"/>
        <w:outlineLvl w:val="0"/>
        <w:rPr>
          <w:rFonts w:ascii="宋体" w:hAnsi="宋体"/>
          <w:szCs w:val="21"/>
        </w:rPr>
      </w:pPr>
      <w:r>
        <w:rPr>
          <w:rFonts w:hint="eastAsia" w:ascii="宋体" w:hAnsi="宋体"/>
          <w:szCs w:val="21"/>
        </w:rPr>
        <w:t>投资者应得资金=投资者理财产品预计到期日持有理财产品份额×理财产品预计到期日理财产品份额净值</w:t>
      </w:r>
    </w:p>
    <w:p>
      <w:pPr>
        <w:spacing w:line="400" w:lineRule="exact"/>
        <w:ind w:firstLine="420" w:firstLineChars="200"/>
        <w:outlineLvl w:val="0"/>
        <w:rPr>
          <w:rFonts w:ascii="宋体" w:hAnsi="宋体"/>
          <w:szCs w:val="21"/>
        </w:rPr>
      </w:pPr>
      <w:r>
        <w:rPr>
          <w:rFonts w:hint="eastAsia" w:ascii="宋体" w:hAnsi="宋体"/>
          <w:szCs w:val="21"/>
        </w:rPr>
        <w:t>全部投资者应得资金为承德银行实际资产变现金额扣除应由理财产品承担的费用、税费后的剩余金额。</w:t>
      </w:r>
    </w:p>
    <w:p>
      <w:pPr>
        <w:spacing w:line="400" w:lineRule="exact"/>
        <w:ind w:firstLine="420" w:firstLineChars="200"/>
        <w:outlineLvl w:val="0"/>
        <w:rPr>
          <w:rFonts w:ascii="宋体" w:hAnsi="宋体"/>
          <w:szCs w:val="21"/>
        </w:rPr>
      </w:pPr>
      <w:r>
        <w:rPr>
          <w:rFonts w:hint="eastAsia" w:ascii="宋体" w:hAnsi="宋体"/>
          <w:szCs w:val="21"/>
        </w:rPr>
        <w:t>如因理财产品所投资的标的资产因信用风险、市场风险等原因，导致资产无法在理财产品预计到期日内变现，则届时管理人有权根据本理财产品投资资产的处置情况，先对可变现资产进行首次清算后向投资者分配，对于未能变现资产在收到款项后再向投资者进行清算分配。</w:t>
      </w:r>
    </w:p>
    <w:p>
      <w:pPr>
        <w:spacing w:line="400" w:lineRule="exact"/>
        <w:ind w:firstLine="420" w:firstLineChars="200"/>
        <w:outlineLvl w:val="0"/>
        <w:rPr>
          <w:rFonts w:ascii="宋体" w:hAnsi="宋体"/>
          <w:szCs w:val="21"/>
        </w:rPr>
      </w:pPr>
      <w:r>
        <w:rPr>
          <w:rFonts w:hint="eastAsia" w:ascii="宋体" w:hAnsi="宋体"/>
          <w:szCs w:val="21"/>
        </w:rPr>
        <w:t xml:space="preserve">4.理财产品项下财产正常变现情况下，理财产品投资者在预计到期日可得收益的计算公式为: </w:t>
      </w:r>
    </w:p>
    <w:p>
      <w:pPr>
        <w:spacing w:line="400" w:lineRule="exact"/>
        <w:ind w:firstLine="420" w:firstLineChars="200"/>
        <w:outlineLvl w:val="0"/>
        <w:rPr>
          <w:rFonts w:ascii="宋体" w:hAnsi="宋体"/>
          <w:szCs w:val="21"/>
        </w:rPr>
      </w:pPr>
      <w:r>
        <w:rPr>
          <w:rFonts w:hint="eastAsia" w:ascii="宋体" w:hAnsi="宋体"/>
          <w:szCs w:val="21"/>
        </w:rPr>
        <w:t>(1)每份额收益=理财产品到期日份额净值-认购日份额净值</w:t>
      </w:r>
    </w:p>
    <w:p>
      <w:pPr>
        <w:spacing w:line="400" w:lineRule="exact"/>
        <w:ind w:firstLine="420" w:firstLineChars="200"/>
        <w:outlineLvl w:val="0"/>
        <w:rPr>
          <w:rFonts w:ascii="宋体" w:hAnsi="宋体"/>
          <w:szCs w:val="21"/>
        </w:rPr>
      </w:pPr>
      <w:r>
        <w:rPr>
          <w:rFonts w:hint="eastAsia" w:ascii="宋体" w:hAnsi="宋体"/>
          <w:szCs w:val="21"/>
        </w:rPr>
        <w:t>(2)投资者总收益=投资者理财产品到期日持有理财产品份额×每份额收益</w:t>
      </w:r>
    </w:p>
    <w:p>
      <w:pPr>
        <w:spacing w:line="400" w:lineRule="exact"/>
        <w:ind w:firstLine="420" w:firstLineChars="200"/>
        <w:outlineLvl w:val="0"/>
        <w:rPr>
          <w:rFonts w:ascii="宋体" w:hAnsi="宋体"/>
          <w:szCs w:val="21"/>
        </w:rPr>
      </w:pPr>
      <w:r>
        <w:rPr>
          <w:rFonts w:hint="eastAsia" w:ascii="宋体" w:hAnsi="宋体"/>
          <w:szCs w:val="21"/>
        </w:rPr>
        <w:t>5.理财产品预计到期日，如理财产品项下财产全部变现，承德银行在理财产品预计到期日后3个工作日内将投资者应得资金划转至投资者账户。清算期超过3个工作日的，承德银行将提前2个工作日根据约定方式进行信息披露。</w:t>
      </w:r>
    </w:p>
    <w:p>
      <w:pPr>
        <w:pStyle w:val="13"/>
        <w:spacing w:line="342" w:lineRule="exact"/>
        <w:ind w:right="216" w:firstLine="422" w:firstLineChars="200"/>
        <w:rPr>
          <w:rFonts w:ascii="宋体" w:hAnsi="宋体"/>
          <w:b/>
          <w:kern w:val="2"/>
          <w:sz w:val="21"/>
          <w:szCs w:val="21"/>
        </w:rPr>
      </w:pPr>
      <w:r>
        <w:rPr>
          <w:rFonts w:hint="eastAsia" w:ascii="宋体" w:hAnsi="宋体"/>
          <w:b/>
          <w:kern w:val="2"/>
          <w:sz w:val="21"/>
          <w:szCs w:val="21"/>
        </w:rPr>
        <w:t>五、理财产品提前到期</w:t>
      </w:r>
    </w:p>
    <w:p>
      <w:pPr>
        <w:spacing w:line="400" w:lineRule="exact"/>
        <w:ind w:firstLine="420" w:firstLineChars="200"/>
        <w:outlineLvl w:val="0"/>
        <w:rPr>
          <w:rFonts w:ascii="宋体" w:hAnsi="宋体"/>
          <w:szCs w:val="21"/>
        </w:rPr>
      </w:pPr>
      <w:r>
        <w:rPr>
          <w:rFonts w:hint="eastAsia" w:ascii="宋体" w:hAnsi="宋体"/>
          <w:szCs w:val="21"/>
        </w:rPr>
        <w:t>1.本理财产品成立后，如出现但不限于如下情形，承德银行有权但无义务在理财产品预计到期日之前终止该理财产品，且理财产品本金及收益将以理财产品所投资产提前到期时实际出让或处分情况来计算:</w:t>
      </w:r>
    </w:p>
    <w:p>
      <w:pPr>
        <w:spacing w:line="400" w:lineRule="exact"/>
        <w:ind w:firstLine="420" w:firstLineChars="200"/>
        <w:outlineLvl w:val="0"/>
        <w:rPr>
          <w:rFonts w:ascii="宋体" w:hAnsi="宋体"/>
          <w:szCs w:val="21"/>
          <w:highlight w:val="yellow"/>
        </w:rPr>
      </w:pPr>
      <w:r>
        <w:rPr>
          <w:rFonts w:hint="eastAsia" w:ascii="宋体" w:hAnsi="宋体"/>
          <w:szCs w:val="21"/>
        </w:rPr>
        <w:t>(1)如遇国家金融政策出现重大调整或宏观经济形势发生重大变化并影响到本理财产品的正常运作时，承德银行有权在理财产品预计到期日之前终止本理财产品。</w:t>
      </w:r>
    </w:p>
    <w:p>
      <w:pPr>
        <w:spacing w:line="400" w:lineRule="exact"/>
        <w:ind w:firstLine="420" w:firstLineChars="200"/>
        <w:outlineLvl w:val="0"/>
        <w:rPr>
          <w:rFonts w:ascii="宋体" w:hAnsi="宋体"/>
          <w:szCs w:val="21"/>
          <w:highlight w:val="yellow"/>
        </w:rPr>
      </w:pPr>
      <w:r>
        <w:rPr>
          <w:rFonts w:hint="eastAsia" w:ascii="宋体" w:hAnsi="宋体"/>
          <w:szCs w:val="21"/>
        </w:rPr>
        <w:t>(2)因本理财产品投向的金融资产所涉及的相关主体信用恶化，市场利率大幅下滑，或出现金融资产项下借款企业提前还款、债务工具提前到期、理财产品投向的信托计划/资管计划/基金等提前终止等情况，承德银行亦有权在理财产品预计到期日之前终止该理财产品。</w:t>
      </w:r>
    </w:p>
    <w:p>
      <w:pPr>
        <w:spacing w:line="400" w:lineRule="exact"/>
        <w:ind w:firstLine="420" w:firstLineChars="200"/>
        <w:outlineLvl w:val="0"/>
        <w:rPr>
          <w:rFonts w:ascii="宋体" w:hAnsi="宋体"/>
          <w:szCs w:val="21"/>
        </w:rPr>
      </w:pPr>
      <w:r>
        <w:rPr>
          <w:rFonts w:hint="eastAsia" w:ascii="宋体" w:hAnsi="宋体"/>
          <w:szCs w:val="21"/>
        </w:rPr>
        <w:t>(3)承德银行有合理理由认为将影响本理财产品正常运作的其他情形。</w:t>
      </w:r>
    </w:p>
    <w:p>
      <w:pPr>
        <w:spacing w:line="400" w:lineRule="exact"/>
        <w:ind w:firstLine="420" w:firstLineChars="200"/>
        <w:outlineLvl w:val="0"/>
        <w:rPr>
          <w:rFonts w:ascii="宋体" w:hAnsi="宋体"/>
          <w:szCs w:val="21"/>
        </w:rPr>
      </w:pPr>
      <w:r>
        <w:rPr>
          <w:rFonts w:hint="eastAsia" w:ascii="宋体" w:hAnsi="宋体"/>
          <w:szCs w:val="21"/>
        </w:rPr>
        <w:t>2.承德银行若在理财产品预计到期日之前终止本理财产品，将提前2个工作日发布相关信息公告通知投资者。在资产可全部及时变现的情况下，承德银行将在理财产品提前到期之日后3个工作日内扣除应由理财产品承担的费用后向投资者返还投资者应得资金，投资者可得资金计算公式如下:</w:t>
      </w:r>
    </w:p>
    <w:p>
      <w:pPr>
        <w:spacing w:line="400" w:lineRule="exact"/>
        <w:ind w:firstLine="420" w:firstLineChars="200"/>
        <w:outlineLvl w:val="0"/>
      </w:pPr>
      <w:r>
        <w:rPr>
          <w:rFonts w:hint="eastAsia" w:ascii="宋体" w:hAnsi="宋体"/>
          <w:szCs w:val="21"/>
        </w:rPr>
        <w:t>投资者应得资金=投资者持有理财产品份额×理财产品提前到期日份额净值</w:t>
      </w:r>
    </w:p>
    <w:p>
      <w:pPr>
        <w:spacing w:line="400" w:lineRule="exact"/>
        <w:ind w:firstLine="420" w:firstLineChars="200"/>
        <w:outlineLvl w:val="0"/>
        <w:rPr>
          <w:rFonts w:ascii="宋体" w:hAnsi="宋体"/>
          <w:szCs w:val="21"/>
        </w:rPr>
      </w:pPr>
      <w:r>
        <w:rPr>
          <w:rFonts w:hint="eastAsia" w:ascii="宋体" w:hAnsi="宋体"/>
          <w:szCs w:val="21"/>
        </w:rPr>
        <w:t>3.如理财产品项下所投资产不能全部变现，则承德银行将现金类资产扣除应由理财产品承担的费用、税费(如有)后向投资者分配。对于未变现资产部分，承德银行以投资者利益最大化的原则，寻求未变现资产变现方式，在资产变现后5个工作日内，扣除应由理财产品承担的费用、税费后向投资者分配。</w:t>
      </w:r>
    </w:p>
    <w:p>
      <w:pPr>
        <w:pStyle w:val="13"/>
        <w:spacing w:before="3" w:line="334" w:lineRule="exact"/>
        <w:ind w:right="61" w:firstLine="422" w:firstLineChars="200"/>
        <w:rPr>
          <w:rFonts w:ascii="宋体" w:hAnsi="宋体"/>
          <w:kern w:val="2"/>
          <w:sz w:val="21"/>
          <w:szCs w:val="21"/>
        </w:rPr>
      </w:pPr>
      <w:r>
        <w:rPr>
          <w:rFonts w:hint="eastAsia" w:ascii="宋体" w:hAnsi="宋体"/>
          <w:b/>
          <w:kern w:val="2"/>
          <w:sz w:val="21"/>
          <w:szCs w:val="21"/>
        </w:rPr>
        <w:t>六、理财产品费用</w:t>
      </w:r>
    </w:p>
    <w:p>
      <w:pPr>
        <w:spacing w:line="400" w:lineRule="exact"/>
        <w:ind w:firstLine="420" w:firstLineChars="200"/>
        <w:outlineLvl w:val="0"/>
        <w:rPr>
          <w:rFonts w:ascii="宋体" w:hAnsi="宋体"/>
          <w:szCs w:val="21"/>
        </w:rPr>
      </w:pPr>
      <w:r>
        <w:rPr>
          <w:rFonts w:hint="eastAsia" w:ascii="宋体" w:hAnsi="宋体"/>
          <w:szCs w:val="21"/>
        </w:rPr>
        <w:t>1.理财产品费用指投资管理人为成立理财产品及处理理财产品事务目的而支出的所有费用，包括但不限于投资管理人收取的固定投资管理费、浮动管理费、托管人收取的托管费、销售管理费、投后管理费、交易费用(包括但不限于交易佣金、撮合费用等)、理财产品验资费、审计费、律师费、信息披露费、清算费、执行费用、资产服务费等相关费用，具体以约定为准。</w:t>
      </w:r>
    </w:p>
    <w:p>
      <w:pPr>
        <w:spacing w:line="400" w:lineRule="exact"/>
        <w:ind w:firstLine="420" w:firstLineChars="200"/>
        <w:outlineLvl w:val="0"/>
        <w:rPr>
          <w:rFonts w:ascii="宋体" w:hAnsi="宋体"/>
          <w:szCs w:val="21"/>
        </w:rPr>
      </w:pPr>
      <w:r>
        <w:rPr>
          <w:rFonts w:hint="eastAsia" w:ascii="宋体" w:hAnsi="宋体"/>
          <w:szCs w:val="21"/>
        </w:rPr>
        <w:t>2.理财产品费用按本产品说明书及投资管理人与费用收取方之间的协议约定从理财产品资产中支付。投资管理人或理财产品参与方以国有财产先行垫付的，有权从理财产品资产中优先受偿。</w:t>
      </w:r>
    </w:p>
    <w:p>
      <w:pPr>
        <w:spacing w:line="400" w:lineRule="exact"/>
        <w:ind w:firstLine="420" w:firstLineChars="200"/>
        <w:outlineLvl w:val="0"/>
        <w:rPr>
          <w:rFonts w:ascii="宋体" w:hAnsi="宋体"/>
          <w:szCs w:val="21"/>
        </w:rPr>
      </w:pPr>
      <w:r>
        <w:rPr>
          <w:rFonts w:hint="eastAsia" w:ascii="宋体" w:hAnsi="宋体"/>
          <w:szCs w:val="21"/>
        </w:rPr>
        <w:t>3.固定投资管理费计算方法：</w:t>
      </w:r>
    </w:p>
    <w:p>
      <w:pPr>
        <w:spacing w:line="400" w:lineRule="exact"/>
        <w:ind w:firstLine="420" w:firstLineChars="200"/>
        <w:outlineLvl w:val="0"/>
        <w:rPr>
          <w:rFonts w:ascii="宋体" w:hAnsi="宋体"/>
          <w:szCs w:val="21"/>
        </w:rPr>
      </w:pPr>
      <w:r>
        <w:rPr>
          <w:rFonts w:hint="eastAsia" w:ascii="宋体" w:hAnsi="宋体"/>
          <w:szCs w:val="21"/>
        </w:rPr>
        <w:t>管理人收取固定投资管理费，每日计提，到期收取。</w:t>
      </w:r>
    </w:p>
    <w:p>
      <w:pPr>
        <w:spacing w:line="400" w:lineRule="exact"/>
        <w:ind w:firstLine="420" w:firstLineChars="200"/>
        <w:outlineLvl w:val="0"/>
        <w:rPr>
          <w:rFonts w:ascii="宋体" w:hAnsi="宋体"/>
          <w:szCs w:val="21"/>
        </w:rPr>
      </w:pPr>
      <w:r>
        <w:rPr>
          <w:rFonts w:hint="eastAsia" w:ascii="宋体" w:hAnsi="宋体"/>
          <w:szCs w:val="21"/>
        </w:rPr>
        <w:t>每日计提的固定投资管理费=产品本金*费率/365</w:t>
      </w:r>
    </w:p>
    <w:p>
      <w:pPr>
        <w:spacing w:line="400" w:lineRule="exact"/>
        <w:ind w:firstLine="420" w:firstLineChars="200"/>
        <w:outlineLvl w:val="0"/>
        <w:rPr>
          <w:rFonts w:ascii="宋体" w:hAnsi="宋体"/>
          <w:szCs w:val="21"/>
        </w:rPr>
      </w:pPr>
      <w:r>
        <w:rPr>
          <w:rFonts w:hint="eastAsia" w:ascii="宋体" w:hAnsi="宋体"/>
          <w:szCs w:val="21"/>
        </w:rPr>
        <w:t>4.托管费计算方法：</w:t>
      </w:r>
    </w:p>
    <w:p>
      <w:pPr>
        <w:spacing w:line="400" w:lineRule="exact"/>
        <w:ind w:firstLine="420" w:firstLineChars="200"/>
        <w:outlineLvl w:val="0"/>
        <w:rPr>
          <w:rFonts w:ascii="宋体" w:hAnsi="宋体"/>
          <w:szCs w:val="21"/>
        </w:rPr>
      </w:pPr>
      <w:r>
        <w:rPr>
          <w:rFonts w:hint="eastAsia" w:ascii="宋体" w:hAnsi="宋体"/>
          <w:szCs w:val="21"/>
        </w:rPr>
        <w:t>托管人对本产品收取托管费，托管费每日计提，到期收取。</w:t>
      </w:r>
    </w:p>
    <w:p>
      <w:pPr>
        <w:spacing w:line="400" w:lineRule="exact"/>
        <w:ind w:firstLine="420" w:firstLineChars="200"/>
        <w:outlineLvl w:val="0"/>
        <w:rPr>
          <w:rFonts w:ascii="宋体" w:hAnsi="宋体"/>
          <w:szCs w:val="21"/>
        </w:rPr>
      </w:pPr>
      <w:r>
        <w:rPr>
          <w:rFonts w:hint="eastAsia" w:ascii="宋体" w:hAnsi="宋体"/>
          <w:szCs w:val="21"/>
        </w:rPr>
        <w:t>每日计提的托管费=产品本金*费率/365</w:t>
      </w:r>
    </w:p>
    <w:p>
      <w:pPr>
        <w:spacing w:line="400" w:lineRule="exact"/>
        <w:ind w:firstLine="420" w:firstLineChars="200"/>
        <w:outlineLvl w:val="0"/>
        <w:rPr>
          <w:rFonts w:ascii="宋体" w:hAnsi="宋体"/>
          <w:szCs w:val="21"/>
        </w:rPr>
      </w:pPr>
      <w:r>
        <w:rPr>
          <w:rFonts w:hint="eastAsia" w:ascii="宋体" w:hAnsi="宋体"/>
          <w:szCs w:val="21"/>
        </w:rPr>
        <w:t>5、浮动投资管理费</w:t>
      </w:r>
    </w:p>
    <w:p>
      <w:pPr>
        <w:spacing w:line="400" w:lineRule="exact"/>
        <w:ind w:firstLine="420" w:firstLineChars="200"/>
        <w:outlineLvl w:val="0"/>
        <w:rPr>
          <w:rFonts w:ascii="宋体" w:hAnsi="宋体"/>
          <w:szCs w:val="21"/>
        </w:rPr>
      </w:pPr>
      <w:r>
        <w:rPr>
          <w:rFonts w:hint="eastAsia" w:ascii="宋体" w:hAnsi="宋体"/>
          <w:szCs w:val="21"/>
        </w:rPr>
        <w:t>产品年化收益率超出业绩比较基准部分的</w:t>
      </w:r>
      <w:r>
        <w:rPr>
          <w:rFonts w:hint="eastAsia" w:ascii="宋体" w:hAnsi="宋体"/>
          <w:szCs w:val="21"/>
          <w:lang w:val="en-US" w:eastAsia="zh-CN"/>
        </w:rPr>
        <w:t>9</w:t>
      </w:r>
      <w:r>
        <w:rPr>
          <w:rFonts w:hint="eastAsia" w:ascii="宋体" w:hAnsi="宋体"/>
          <w:szCs w:val="21"/>
        </w:rPr>
        <w:t>0%为浮动投资管理费。浮动管理费到期一次性计提，到期一次性收取。</w:t>
      </w:r>
    </w:p>
    <w:p>
      <w:pPr>
        <w:spacing w:line="400" w:lineRule="exact"/>
        <w:ind w:firstLine="420" w:firstLineChars="200"/>
        <w:outlineLvl w:val="0"/>
        <w:rPr>
          <w:rFonts w:ascii="宋体" w:hAnsi="宋体"/>
          <w:szCs w:val="21"/>
        </w:rPr>
      </w:pPr>
      <w:r>
        <w:rPr>
          <w:rFonts w:hint="eastAsia" w:ascii="宋体" w:hAnsi="宋体"/>
          <w:szCs w:val="21"/>
        </w:rPr>
        <w:t>期末费前年化收益率R=（期末费前累计净值-1）/产品期限*365*100。若R&lt;业绩比较基准，则无浮动管理费；若R&gt;业绩比较基准，则管理人收取的浮动管理费为（R-业绩比较基准）*</w:t>
      </w:r>
      <w:r>
        <w:rPr>
          <w:rFonts w:hint="eastAsia" w:ascii="宋体" w:hAnsi="宋体"/>
          <w:szCs w:val="21"/>
          <w:lang w:val="en-US" w:eastAsia="zh-CN"/>
        </w:rPr>
        <w:t>9</w:t>
      </w:r>
      <w:r>
        <w:rPr>
          <w:rFonts w:hint="eastAsia" w:ascii="宋体" w:hAnsi="宋体"/>
          <w:szCs w:val="21"/>
        </w:rPr>
        <w:t>0%*存续份额*1*产品期限/365。</w:t>
      </w:r>
    </w:p>
    <w:p>
      <w:pPr>
        <w:spacing w:line="400" w:lineRule="exact"/>
        <w:ind w:firstLine="420" w:firstLineChars="200"/>
        <w:outlineLvl w:val="0"/>
        <w:rPr>
          <w:rFonts w:ascii="宋体" w:hAnsi="宋体"/>
          <w:szCs w:val="21"/>
        </w:rPr>
      </w:pPr>
      <w:r>
        <w:rPr>
          <w:rFonts w:hint="eastAsia" w:ascii="宋体" w:hAnsi="宋体"/>
          <w:szCs w:val="21"/>
        </w:rPr>
        <w:t>承德银行有权根据国家政策和适用法律的规定，对本理财产品费用名目、收费条件、收费标准和收费方式进行调整，并按照信息披露章节的约定方式通知投资者，投资者在信息披露期间未提出书面异议的，视为书面同意，产品说明书变动自信息披露期结束后自动生效投资者如不同意调整的，可在承德银行公告的补充或修改后的相关业务调整生效前赎回本理财产品【此种情况下承德银行将可能开放特殊赎回期间，具体以届时承德银行的公告为准】，逾期未赎回的视为同意且继续持有本理财产品。</w:t>
      </w:r>
    </w:p>
    <w:p>
      <w:pPr>
        <w:spacing w:line="400" w:lineRule="exact"/>
        <w:ind w:firstLine="422" w:firstLineChars="200"/>
        <w:outlineLvl w:val="0"/>
        <w:rPr>
          <w:rFonts w:ascii="宋体" w:hAnsi="宋体"/>
          <w:szCs w:val="21"/>
        </w:rPr>
      </w:pPr>
      <w:r>
        <w:rPr>
          <w:rFonts w:hint="eastAsia" w:ascii="宋体" w:hAnsi="宋体"/>
          <w:b/>
          <w:szCs w:val="21"/>
        </w:rPr>
        <w:t>七、理财产品税费</w:t>
      </w:r>
    </w:p>
    <w:p>
      <w:pPr>
        <w:spacing w:line="400" w:lineRule="exact"/>
        <w:ind w:firstLine="420" w:firstLineChars="200"/>
        <w:outlineLvl w:val="0"/>
        <w:rPr>
          <w:rFonts w:ascii="宋体" w:hAnsi="宋体"/>
          <w:szCs w:val="21"/>
        </w:rPr>
      </w:pPr>
      <w:r>
        <w:rPr>
          <w:rFonts w:hint="eastAsia" w:ascii="宋体" w:hAnsi="宋体"/>
          <w:szCs w:val="21"/>
        </w:rPr>
        <w:t>1.理财产品税费在理财产品资产中列支。</w:t>
      </w:r>
    </w:p>
    <w:p>
      <w:pPr>
        <w:spacing w:line="400" w:lineRule="exact"/>
        <w:ind w:firstLine="420" w:firstLineChars="200"/>
        <w:outlineLvl w:val="0"/>
        <w:rPr>
          <w:rFonts w:ascii="宋体" w:hAnsi="宋体"/>
          <w:szCs w:val="21"/>
        </w:rPr>
      </w:pPr>
      <w:r>
        <w:rPr>
          <w:rFonts w:hint="eastAsia" w:ascii="宋体" w:hAnsi="宋体"/>
          <w:szCs w:val="21"/>
        </w:rPr>
        <w:t>2.除理财产品文件另有约定外，理财产品运作过程中涉及的各纳税主体，依照适用法律规定自行履行纳税义务。</w:t>
      </w:r>
    </w:p>
    <w:p>
      <w:pPr>
        <w:spacing w:line="400" w:lineRule="exact"/>
        <w:ind w:firstLine="420" w:firstLineChars="200"/>
        <w:outlineLvl w:val="0"/>
        <w:rPr>
          <w:rFonts w:ascii="宋体" w:hAnsi="宋体"/>
          <w:szCs w:val="21"/>
        </w:rPr>
      </w:pPr>
      <w:r>
        <w:rPr>
          <w:rFonts w:hint="eastAsia" w:ascii="宋体" w:hAnsi="宋体"/>
          <w:szCs w:val="21"/>
        </w:rPr>
        <w:t>3.若适用法律要求投资管理人代扣代缴理财产品份额持有人应纳税款的，投资管理人将依法履行扣缴义务，份额持有人对此应给予配合。</w:t>
      </w:r>
    </w:p>
    <w:p>
      <w:pPr>
        <w:spacing w:line="400" w:lineRule="exact"/>
        <w:ind w:firstLine="420" w:firstLineChars="200"/>
        <w:outlineLvl w:val="0"/>
        <w:rPr>
          <w:rFonts w:ascii="宋体" w:hAnsi="宋体"/>
          <w:szCs w:val="21"/>
        </w:rPr>
      </w:pPr>
      <w:r>
        <w:rPr>
          <w:rFonts w:hint="eastAsia" w:ascii="宋体" w:hAnsi="宋体"/>
          <w:szCs w:val="21"/>
        </w:rPr>
        <w:t>4.理财产品在资产管理、运作、处置过程中产生的收入，根据适用法律应缴纳增值税(含增值税附加税费)及/或其他税费的，即使投资管理人被税务机关认定为纳税义务人，该等增值税(含增值税附加税费)及/或其他税费仍属于理财产品税费，应在理财产品资产中列支、扣除并由管理人申报和缴纳，份额持有人对此应予同意及充分配合。但投资管理人向理财产品收取固定投资管理费而产生的纳税义务履行，不适用本条。</w:t>
      </w:r>
    </w:p>
    <w:p>
      <w:pPr>
        <w:spacing w:line="400" w:lineRule="exact"/>
        <w:ind w:firstLine="413" w:firstLineChars="196"/>
        <w:outlineLvl w:val="0"/>
        <w:rPr>
          <w:rFonts w:ascii="宋体" w:hAnsi="宋体"/>
          <w:b/>
          <w:szCs w:val="21"/>
        </w:rPr>
      </w:pPr>
      <w:r>
        <w:rPr>
          <w:rFonts w:hint="eastAsia" w:ascii="宋体" w:hAnsi="宋体"/>
          <w:b/>
          <w:szCs w:val="21"/>
        </w:rPr>
        <w:t>八、信息披露</w:t>
      </w:r>
    </w:p>
    <w:p>
      <w:pPr>
        <w:spacing w:line="400" w:lineRule="exact"/>
        <w:ind w:firstLine="420" w:firstLineChars="200"/>
        <w:outlineLvl w:val="0"/>
        <w:rPr>
          <w:rFonts w:ascii="宋体" w:hAnsi="宋体"/>
          <w:szCs w:val="21"/>
        </w:rPr>
      </w:pPr>
      <w:r>
        <w:rPr>
          <w:rFonts w:hint="eastAsia" w:ascii="宋体" w:hAnsi="宋体"/>
          <w:szCs w:val="21"/>
        </w:rPr>
        <w:t>1.信息披露的渠道</w:t>
      </w:r>
    </w:p>
    <w:p>
      <w:pPr>
        <w:spacing w:line="400" w:lineRule="exact"/>
        <w:ind w:firstLine="420" w:firstLineChars="200"/>
        <w:outlineLvl w:val="0"/>
        <w:rPr>
          <w:rFonts w:ascii="宋体" w:hAnsi="宋体"/>
          <w:szCs w:val="21"/>
        </w:rPr>
      </w:pPr>
      <w:r>
        <w:rPr>
          <w:rFonts w:hint="eastAsia" w:ascii="宋体" w:hAnsi="宋体"/>
          <w:szCs w:val="21"/>
        </w:rPr>
        <w:t>本理财产品存续期间内，承德银行在官网（www.chengdebank.com）等渠道发布理财产品相关信息。投资者应定期通过上述渠道获知有关本理财产品相关信息。以上相关信息自公告之日即视为己送达投资者。</w:t>
      </w:r>
    </w:p>
    <w:p>
      <w:pPr>
        <w:spacing w:line="400" w:lineRule="exact"/>
        <w:ind w:firstLine="420" w:firstLineChars="200"/>
        <w:outlineLvl w:val="0"/>
      </w:pPr>
      <w:r>
        <w:rPr>
          <w:rFonts w:hint="eastAsia" w:ascii="宋体" w:hAnsi="宋体"/>
          <w:szCs w:val="21"/>
        </w:rPr>
        <w:t>2.信息披露的内容和时间</w:t>
      </w:r>
    </w:p>
    <w:p>
      <w:pPr>
        <w:spacing w:line="400" w:lineRule="exact"/>
        <w:ind w:firstLine="420" w:firstLineChars="200"/>
        <w:outlineLvl w:val="0"/>
        <w:rPr>
          <w:rFonts w:ascii="宋体" w:hAnsi="宋体"/>
          <w:szCs w:val="21"/>
        </w:rPr>
      </w:pPr>
      <w:r>
        <w:rPr>
          <w:rFonts w:hint="eastAsia" w:ascii="宋体" w:hAnsi="宋体"/>
          <w:szCs w:val="21"/>
        </w:rPr>
        <w:t>(1)理财产品发行公告</w:t>
      </w:r>
    </w:p>
    <w:p>
      <w:pPr>
        <w:spacing w:line="400" w:lineRule="exact"/>
        <w:ind w:firstLine="420" w:firstLineChars="200"/>
        <w:outlineLvl w:val="0"/>
        <w:rPr>
          <w:rFonts w:ascii="宋体" w:hAnsi="宋体"/>
          <w:szCs w:val="21"/>
        </w:rPr>
      </w:pPr>
      <w:r>
        <w:rPr>
          <w:rFonts w:hint="eastAsia" w:ascii="宋体" w:hAnsi="宋体"/>
          <w:szCs w:val="21"/>
        </w:rPr>
        <w:t>管理人将在理财产品成立之后5日内披露发行公告，包括理财产品成立日期和募集规模等信息。若募集期新出台的法律、法规导致本理财产品不适宜成立运行，或理财产品认购总金额未达到认购规模下限，或出现其他影响本理财产品正常运作的情况，则理财产品管理人有权宣布本理财产品不能成立，并在理财产品不能成立的5日内披露。</w:t>
      </w:r>
    </w:p>
    <w:p>
      <w:pPr>
        <w:spacing w:line="400" w:lineRule="exact"/>
        <w:ind w:firstLine="420" w:firstLineChars="200"/>
        <w:outlineLvl w:val="0"/>
        <w:rPr>
          <w:rFonts w:ascii="宋体" w:hAnsi="宋体"/>
          <w:szCs w:val="21"/>
        </w:rPr>
      </w:pPr>
      <w:r>
        <w:rPr>
          <w:rFonts w:hint="eastAsia" w:ascii="宋体" w:hAnsi="宋体"/>
          <w:szCs w:val="21"/>
        </w:rPr>
        <w:t>(2)理财产品定期报告</w:t>
      </w:r>
    </w:p>
    <w:p>
      <w:pPr>
        <w:spacing w:line="400" w:lineRule="exact"/>
        <w:ind w:firstLine="420" w:firstLineChars="200"/>
        <w:outlineLvl w:val="0"/>
        <w:rPr>
          <w:rFonts w:ascii="宋体" w:hAnsi="宋体"/>
          <w:szCs w:val="21"/>
        </w:rPr>
      </w:pPr>
      <w:r>
        <w:rPr>
          <w:rFonts w:hint="eastAsia" w:ascii="宋体" w:hAnsi="宋体"/>
          <w:szCs w:val="21"/>
        </w:rPr>
        <w:t>A、管理人将在每个季度结束之日起15个工作日内、上半年结束之日起60个工作日内、每年结束之日起90个工作日内，编制完成理财产品的季度、半年和年度报告等定期报告。理财产品成立不足90个工作日或者剩余存续期不超过90个工作日的，管理人可以不编制理财产品当期的季度、半年和年度报告。定期报告，包括理财产品的存续规模、收益表现，并分别列示直接和间接投资的资产种类、投资比例、投资组合的流动性风险分析，以及前十项资产具体名称、规模和比例等信息。</w:t>
      </w:r>
    </w:p>
    <w:p>
      <w:pPr>
        <w:spacing w:line="400" w:lineRule="exact"/>
        <w:ind w:firstLine="420" w:firstLineChars="200"/>
        <w:outlineLvl w:val="0"/>
        <w:rPr>
          <w:rFonts w:ascii="宋体" w:hAnsi="宋体"/>
          <w:szCs w:val="21"/>
        </w:rPr>
      </w:pPr>
      <w:r>
        <w:rPr>
          <w:rFonts w:hint="eastAsia" w:ascii="宋体" w:hAnsi="宋体"/>
          <w:szCs w:val="21"/>
        </w:rPr>
        <w:t>B、在产品存续期间，承德银行可以提前2个工作日发布相关信息，对投资范围、投资品种、投资比例或产品说明书其他条款进行补充、说明和修改。客户如不同意补充或修改后的说明书，可在承德银行公告的补充或修改后的相关业务调整生效前赎回本理财产品【此种情况下承德银行将可能开放特殊赎回期间，具体以届时承德银行的公告为准】，投资者本金和收益(如有)将在赎回日后10个工作日内划转至投资者账户。逾期未赎回的视为同意。</w:t>
      </w:r>
    </w:p>
    <w:p>
      <w:pPr>
        <w:spacing w:line="400" w:lineRule="exact"/>
        <w:ind w:firstLine="420" w:firstLineChars="200"/>
        <w:outlineLvl w:val="0"/>
        <w:rPr>
          <w:rFonts w:ascii="宋体" w:hAnsi="宋体"/>
          <w:szCs w:val="21"/>
        </w:rPr>
      </w:pPr>
      <w:r>
        <w:rPr>
          <w:rFonts w:hint="eastAsia" w:ascii="宋体" w:hAnsi="宋体"/>
          <w:szCs w:val="21"/>
        </w:rPr>
        <w:t>(3)理财产品临时性信息披露</w:t>
      </w:r>
    </w:p>
    <w:p>
      <w:pPr>
        <w:spacing w:line="400" w:lineRule="exact"/>
        <w:ind w:firstLine="420" w:firstLineChars="200"/>
        <w:outlineLvl w:val="0"/>
        <w:rPr>
          <w:rFonts w:ascii="宋体" w:hAnsi="宋体"/>
          <w:szCs w:val="21"/>
        </w:rPr>
      </w:pPr>
      <w:r>
        <w:rPr>
          <w:rFonts w:hint="eastAsia" w:ascii="宋体" w:hAnsi="宋体"/>
          <w:szCs w:val="21"/>
        </w:rPr>
        <w:t>本理财产品在运作管理过程中，理财产品投资范围或比例发生调整;理财产品认购期延长;理财产品费率标准或计提方式发生变更;理财产品规模上限发生调整等经承德银行判断可能对理财产品份额持有人权益产生影响的事项时，承德银行在根据法律法规规定以及相关销售文件约定进行变更后，将及时进行临时信息披露。</w:t>
      </w:r>
    </w:p>
    <w:p>
      <w:pPr>
        <w:spacing w:line="400" w:lineRule="exact"/>
        <w:ind w:firstLine="420" w:firstLineChars="200"/>
        <w:outlineLvl w:val="0"/>
        <w:rPr>
          <w:rFonts w:ascii="宋体" w:hAnsi="宋体"/>
          <w:szCs w:val="21"/>
        </w:rPr>
      </w:pPr>
      <w:r>
        <w:rPr>
          <w:rFonts w:hint="eastAsia" w:ascii="宋体" w:hAnsi="宋体"/>
          <w:szCs w:val="21"/>
        </w:rPr>
        <w:t>发生理财产品管理人、托管人变更的情形的，承德银行将提前10个工作日以临时公告形式向投资者进行信息披露。</w:t>
      </w:r>
    </w:p>
    <w:p>
      <w:pPr>
        <w:spacing w:line="400" w:lineRule="exact"/>
        <w:ind w:firstLine="420" w:firstLineChars="200"/>
        <w:outlineLvl w:val="0"/>
        <w:rPr>
          <w:rFonts w:ascii="宋体" w:hAnsi="宋体"/>
          <w:szCs w:val="21"/>
        </w:rPr>
      </w:pPr>
      <w:r>
        <w:rPr>
          <w:rFonts w:hint="eastAsia" w:ascii="宋体" w:hAnsi="宋体"/>
          <w:szCs w:val="21"/>
        </w:rPr>
        <w:t>(4)理财产品重大事项公告</w:t>
      </w:r>
    </w:p>
    <w:p>
      <w:pPr>
        <w:spacing w:line="400" w:lineRule="exact"/>
        <w:ind w:firstLine="420" w:firstLineChars="200"/>
        <w:outlineLvl w:val="0"/>
        <w:rPr>
          <w:rFonts w:ascii="宋体" w:hAnsi="宋体"/>
          <w:szCs w:val="21"/>
        </w:rPr>
      </w:pPr>
      <w:r>
        <w:rPr>
          <w:rFonts w:hint="eastAsia" w:ascii="宋体" w:hAnsi="宋体"/>
          <w:szCs w:val="21"/>
        </w:rPr>
        <w:t>理财产品存续期间，如果发生承德银行认为可能影响产品运作的重大不利事项时，包括但不限于未按照产品说明书约定分配收益;理财产品所投资产出现重大损失;管理人、托管人等出现变更，经营情况出现重大变化或涉及法律纠纷;市场发生重大变化、投资的资产质量发生重大变化或者其它可能对投资者权益产生重大影响的突发事件等经承德银行判断对理财投资价值有实质性影响的重大事件，承德银行将在该事件发生后2日内向投资者披露相关信息。</w:t>
      </w:r>
    </w:p>
    <w:p>
      <w:pPr>
        <w:spacing w:line="400" w:lineRule="exact"/>
        <w:ind w:firstLine="420" w:firstLineChars="200"/>
        <w:outlineLvl w:val="0"/>
        <w:rPr>
          <w:rFonts w:ascii="宋体" w:hAnsi="宋体"/>
          <w:szCs w:val="21"/>
        </w:rPr>
      </w:pPr>
      <w:r>
        <w:rPr>
          <w:rFonts w:hint="eastAsia" w:ascii="宋体" w:hAnsi="宋体"/>
          <w:szCs w:val="21"/>
        </w:rPr>
        <w:t>(5)理财产品到期公告</w:t>
      </w:r>
    </w:p>
    <w:p>
      <w:pPr>
        <w:spacing w:line="400" w:lineRule="exact"/>
        <w:ind w:firstLine="420" w:firstLineChars="200"/>
        <w:outlineLvl w:val="0"/>
        <w:rPr>
          <w:rFonts w:ascii="宋体" w:hAnsi="宋体"/>
          <w:szCs w:val="21"/>
        </w:rPr>
      </w:pPr>
      <w:r>
        <w:rPr>
          <w:rFonts w:hint="eastAsia" w:ascii="宋体" w:hAnsi="宋体"/>
          <w:szCs w:val="21"/>
        </w:rPr>
        <w:t>承德银行将在理财产品预计到期日后的5个工作日内，通过官网（www.chengdebank.com）发布到期公告。如果承德银行决定在理财产品预计到期日之前终止本理财产品，承德银行将于提前到期日前2个工作日发布到期公告。</w:t>
      </w:r>
    </w:p>
    <w:p>
      <w:pPr>
        <w:spacing w:line="400" w:lineRule="exact"/>
        <w:ind w:firstLine="420" w:firstLineChars="200"/>
        <w:outlineLvl w:val="0"/>
        <w:rPr>
          <w:rFonts w:ascii="宋体" w:hAnsi="宋体"/>
          <w:szCs w:val="21"/>
        </w:rPr>
      </w:pPr>
      <w:r>
        <w:rPr>
          <w:rFonts w:hint="eastAsia" w:ascii="宋体" w:hAnsi="宋体"/>
          <w:szCs w:val="21"/>
        </w:rPr>
        <w:t>到期公告的内容包括理财产品的存续期限、终止日期、收费情况和收益分配情况等信息。</w:t>
      </w:r>
    </w:p>
    <w:p>
      <w:pPr>
        <w:spacing w:line="400" w:lineRule="exact"/>
        <w:ind w:firstLine="420" w:firstLineChars="200"/>
        <w:outlineLvl w:val="0"/>
        <w:rPr>
          <w:rFonts w:ascii="宋体" w:hAnsi="宋体"/>
          <w:szCs w:val="21"/>
        </w:rPr>
      </w:pPr>
      <w:r>
        <w:rPr>
          <w:rFonts w:hint="eastAsia" w:ascii="宋体" w:hAnsi="宋体"/>
          <w:szCs w:val="21"/>
        </w:rPr>
        <w:t>(6)如果承德银行决定延长理财期限，承德银行将于原到期日前2个工作日，通过官网（www.chengdebank.com）发布相关信息公告。</w:t>
      </w:r>
    </w:p>
    <w:p>
      <w:pPr>
        <w:spacing w:line="400" w:lineRule="exact"/>
        <w:ind w:firstLine="420" w:firstLineChars="200"/>
        <w:outlineLvl w:val="0"/>
        <w:rPr>
          <w:rFonts w:ascii="宋体" w:hAnsi="宋体"/>
          <w:szCs w:val="21"/>
        </w:rPr>
      </w:pPr>
      <w:r>
        <w:rPr>
          <w:rFonts w:hint="eastAsia" w:ascii="宋体" w:hAnsi="宋体"/>
          <w:szCs w:val="21"/>
        </w:rPr>
        <w:t>(7)产品存续期间，投资者应定期登陆官网（www.chengdebank.com）获取与本理财产品相关的信息。</w:t>
      </w:r>
    </w:p>
    <w:p>
      <w:pPr>
        <w:spacing w:line="400" w:lineRule="exact"/>
        <w:ind w:firstLine="420" w:firstLineChars="200"/>
        <w:outlineLvl w:val="0"/>
        <w:rPr>
          <w:rFonts w:ascii="宋体" w:hAnsi="宋体"/>
          <w:szCs w:val="21"/>
        </w:rPr>
      </w:pPr>
      <w:r>
        <w:rPr>
          <w:rFonts w:hint="eastAsia" w:ascii="宋体" w:hAnsi="宋体"/>
          <w:szCs w:val="21"/>
        </w:rPr>
        <w:t>(8)在本理财产品存续期内，如出于维持本理财产品正常运营的需要且在不损害投资者利益的前提下，或因国家法律法规、监管规定发生变化，承德银行有权单方对本理财产品产品说明书进行修订。承德银行决定对产品说明书进行修订的，将提前两个工作日通过官网（www.chengdebank.com）发布相关信息公告通知投资者。修订后的产品说明书对投资者具有法律约束力。</w:t>
      </w:r>
    </w:p>
    <w:p>
      <w:pPr>
        <w:pStyle w:val="2"/>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 xml:space="preserve">    （9）我行承诺，我行将按业界成熟的安全标准，采取相应的安全保护措施来保护个人信息。如因我行原因造成信息泄露等风险，我行将承担相应责任。</w:t>
      </w:r>
    </w:p>
    <w:p>
      <w:pPr>
        <w:spacing w:line="400" w:lineRule="exact"/>
        <w:ind w:firstLine="413" w:firstLineChars="196"/>
        <w:outlineLvl w:val="0"/>
        <w:rPr>
          <w:rFonts w:ascii="宋体" w:hAnsi="宋体" w:cs="宋体"/>
          <w:b/>
          <w:kern w:val="0"/>
          <w:szCs w:val="21"/>
        </w:rPr>
      </w:pPr>
      <w:r>
        <w:rPr>
          <w:rFonts w:hint="eastAsia" w:ascii="宋体" w:hAnsi="宋体" w:cs="宋体"/>
          <w:b/>
          <w:kern w:val="0"/>
          <w:szCs w:val="21"/>
        </w:rPr>
        <w:t>九、特别提示</w:t>
      </w:r>
    </w:p>
    <w:p>
      <w:pPr>
        <w:spacing w:line="400" w:lineRule="exact"/>
        <w:ind w:firstLine="420" w:firstLineChars="200"/>
        <w:outlineLvl w:val="0"/>
        <w:rPr>
          <w:rFonts w:ascii="宋体" w:hAnsi="宋体"/>
          <w:szCs w:val="21"/>
        </w:rPr>
      </w:pPr>
      <w:r>
        <w:rPr>
          <w:rFonts w:hint="eastAsia" w:ascii="宋体" w:hAnsi="宋体"/>
          <w:szCs w:val="21"/>
        </w:rPr>
        <w:t>1、本理财产品说明书为对应产品期次《理财产品申请/协议书》的解释部分。</w:t>
      </w:r>
    </w:p>
    <w:p>
      <w:pPr>
        <w:spacing w:line="400" w:lineRule="exact"/>
        <w:ind w:firstLine="420" w:firstLineChars="200"/>
        <w:outlineLvl w:val="0"/>
        <w:rPr>
          <w:rFonts w:ascii="宋体" w:hAnsi="宋体"/>
          <w:szCs w:val="21"/>
        </w:rPr>
      </w:pPr>
      <w:r>
        <w:rPr>
          <w:rFonts w:hint="eastAsia" w:ascii="宋体" w:hAnsi="宋体"/>
          <w:szCs w:val="21"/>
        </w:rPr>
        <w:t>2、投资者签署《理财产品申请/协议书》后，即视为投资者对承德银行做出以下承诺：</w:t>
      </w:r>
    </w:p>
    <w:p>
      <w:pPr>
        <w:spacing w:line="400" w:lineRule="exact"/>
        <w:ind w:firstLine="420" w:firstLineChars="200"/>
        <w:outlineLvl w:val="0"/>
        <w:rPr>
          <w:rFonts w:ascii="宋体" w:hAnsi="宋体"/>
          <w:szCs w:val="21"/>
        </w:rPr>
      </w:pPr>
      <w:r>
        <w:rPr>
          <w:rFonts w:hint="eastAsia" w:ascii="宋体" w:hAnsi="宋体"/>
          <w:szCs w:val="21"/>
        </w:rPr>
        <w:t>(1)投资者保证资金来源合法，且系合法拥有，不违反任何法律、法规、监管的规定；</w:t>
      </w:r>
    </w:p>
    <w:p>
      <w:pPr>
        <w:spacing w:line="400" w:lineRule="exact"/>
        <w:ind w:firstLine="420" w:firstLineChars="200"/>
        <w:outlineLvl w:val="0"/>
        <w:rPr>
          <w:rFonts w:ascii="宋体" w:hAnsi="宋体"/>
          <w:szCs w:val="21"/>
        </w:rPr>
      </w:pPr>
      <w:r>
        <w:rPr>
          <w:rFonts w:hint="eastAsia" w:ascii="宋体" w:hAnsi="宋体"/>
          <w:szCs w:val="21"/>
        </w:rPr>
        <w:t>(2)投资者已清楚知晓，并愿意承担本理财产品的所有风险。</w:t>
      </w:r>
    </w:p>
    <w:p>
      <w:pPr>
        <w:spacing w:line="400" w:lineRule="exact"/>
        <w:ind w:firstLine="420" w:firstLineChars="200"/>
        <w:outlineLvl w:val="0"/>
        <w:rPr>
          <w:rFonts w:ascii="宋体" w:hAnsi="宋体"/>
          <w:szCs w:val="21"/>
        </w:rPr>
      </w:pPr>
      <w:r>
        <w:rPr>
          <w:rFonts w:hint="eastAsia" w:ascii="宋体" w:hAnsi="宋体"/>
          <w:szCs w:val="21"/>
        </w:rPr>
        <w:t>3、承德银行对本说明书拥有解释权。</w:t>
      </w:r>
    </w:p>
    <w:p>
      <w:pPr>
        <w:ind w:firstLine="420" w:firstLineChars="200"/>
      </w:pPr>
    </w:p>
    <w:p>
      <w:pPr>
        <w:ind w:firstLine="420" w:firstLineChars="200"/>
      </w:pPr>
    </w:p>
    <w:sectPr>
      <w:headerReference r:id="rId3" w:type="default"/>
      <w:footerReference r:id="rId4" w:type="default"/>
      <w:pgSz w:w="11906" w:h="16838"/>
      <w:pgMar w:top="907" w:right="907" w:bottom="907" w:left="907" w:header="851" w:footer="56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11</w: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w:drawing>
        <wp:inline distT="0" distB="0" distL="0" distR="0">
          <wp:extent cx="1524000" cy="390525"/>
          <wp:effectExtent l="0" t="0" r="0" b="9525"/>
          <wp:docPr id="1" name="图片 1" descr="title-kayakwise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itle-kayakwise4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24000" cy="39052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I3NDc3MDVhZGU3OGNlMjBhOWRiZTBkMTQ0M2E3MjYifQ=="/>
  </w:docVars>
  <w:rsids>
    <w:rsidRoot w:val="007B127B"/>
    <w:rsid w:val="00001157"/>
    <w:rsid w:val="00001390"/>
    <w:rsid w:val="000109B0"/>
    <w:rsid w:val="00013892"/>
    <w:rsid w:val="0001772A"/>
    <w:rsid w:val="0002254A"/>
    <w:rsid w:val="000315B2"/>
    <w:rsid w:val="000316AB"/>
    <w:rsid w:val="000320A0"/>
    <w:rsid w:val="00034A84"/>
    <w:rsid w:val="00036EA4"/>
    <w:rsid w:val="00042116"/>
    <w:rsid w:val="000471FA"/>
    <w:rsid w:val="000507B5"/>
    <w:rsid w:val="00052070"/>
    <w:rsid w:val="00052ECD"/>
    <w:rsid w:val="0005309E"/>
    <w:rsid w:val="00053B9E"/>
    <w:rsid w:val="00054980"/>
    <w:rsid w:val="00054F84"/>
    <w:rsid w:val="000612F2"/>
    <w:rsid w:val="000623D2"/>
    <w:rsid w:val="00063A49"/>
    <w:rsid w:val="0007456E"/>
    <w:rsid w:val="000764C6"/>
    <w:rsid w:val="00077B04"/>
    <w:rsid w:val="00082F31"/>
    <w:rsid w:val="000850F6"/>
    <w:rsid w:val="000854EB"/>
    <w:rsid w:val="00087206"/>
    <w:rsid w:val="00097A1B"/>
    <w:rsid w:val="000A1D27"/>
    <w:rsid w:val="000A1D3B"/>
    <w:rsid w:val="000A36EA"/>
    <w:rsid w:val="000A4B64"/>
    <w:rsid w:val="000B0352"/>
    <w:rsid w:val="000C23C3"/>
    <w:rsid w:val="000C6AEC"/>
    <w:rsid w:val="000D0F0F"/>
    <w:rsid w:val="000D32E8"/>
    <w:rsid w:val="000D61A6"/>
    <w:rsid w:val="000D77B5"/>
    <w:rsid w:val="000D79AF"/>
    <w:rsid w:val="000E377D"/>
    <w:rsid w:val="000F44A6"/>
    <w:rsid w:val="000F46FF"/>
    <w:rsid w:val="000F511E"/>
    <w:rsid w:val="000F57B7"/>
    <w:rsid w:val="000F59BB"/>
    <w:rsid w:val="000F7E97"/>
    <w:rsid w:val="00105FAC"/>
    <w:rsid w:val="00115E66"/>
    <w:rsid w:val="00116E25"/>
    <w:rsid w:val="00124F5C"/>
    <w:rsid w:val="0012543C"/>
    <w:rsid w:val="00125B27"/>
    <w:rsid w:val="00130A51"/>
    <w:rsid w:val="00134937"/>
    <w:rsid w:val="00136234"/>
    <w:rsid w:val="0013720F"/>
    <w:rsid w:val="00140103"/>
    <w:rsid w:val="00143CD0"/>
    <w:rsid w:val="00144FDE"/>
    <w:rsid w:val="00150019"/>
    <w:rsid w:val="0015129C"/>
    <w:rsid w:val="00154A04"/>
    <w:rsid w:val="00156018"/>
    <w:rsid w:val="001619D0"/>
    <w:rsid w:val="001636B7"/>
    <w:rsid w:val="00163E22"/>
    <w:rsid w:val="0016431D"/>
    <w:rsid w:val="00164C6C"/>
    <w:rsid w:val="00166605"/>
    <w:rsid w:val="001735B1"/>
    <w:rsid w:val="00181F23"/>
    <w:rsid w:val="001824A2"/>
    <w:rsid w:val="001855E7"/>
    <w:rsid w:val="00185751"/>
    <w:rsid w:val="0019545A"/>
    <w:rsid w:val="001A0D64"/>
    <w:rsid w:val="001B3236"/>
    <w:rsid w:val="001C48B0"/>
    <w:rsid w:val="001D121C"/>
    <w:rsid w:val="001D5FC3"/>
    <w:rsid w:val="001E2BBB"/>
    <w:rsid w:val="001E55A1"/>
    <w:rsid w:val="001F4F3B"/>
    <w:rsid w:val="001F5097"/>
    <w:rsid w:val="001F563C"/>
    <w:rsid w:val="001F5F77"/>
    <w:rsid w:val="002005DB"/>
    <w:rsid w:val="002019B5"/>
    <w:rsid w:val="00204D2C"/>
    <w:rsid w:val="00205F0D"/>
    <w:rsid w:val="00211862"/>
    <w:rsid w:val="00212AE5"/>
    <w:rsid w:val="00212B1C"/>
    <w:rsid w:val="00212C99"/>
    <w:rsid w:val="00214BFE"/>
    <w:rsid w:val="002171EF"/>
    <w:rsid w:val="00221713"/>
    <w:rsid w:val="002232E8"/>
    <w:rsid w:val="00233A1E"/>
    <w:rsid w:val="00236885"/>
    <w:rsid w:val="002417AF"/>
    <w:rsid w:val="00243567"/>
    <w:rsid w:val="00253205"/>
    <w:rsid w:val="00255B0E"/>
    <w:rsid w:val="00256F00"/>
    <w:rsid w:val="00257BB1"/>
    <w:rsid w:val="002644F6"/>
    <w:rsid w:val="00267DE1"/>
    <w:rsid w:val="00272E9F"/>
    <w:rsid w:val="002737C0"/>
    <w:rsid w:val="00274B80"/>
    <w:rsid w:val="00277C7E"/>
    <w:rsid w:val="00282BB2"/>
    <w:rsid w:val="002843A4"/>
    <w:rsid w:val="00285A35"/>
    <w:rsid w:val="002861ED"/>
    <w:rsid w:val="00286485"/>
    <w:rsid w:val="00296F04"/>
    <w:rsid w:val="002A42AA"/>
    <w:rsid w:val="002B4479"/>
    <w:rsid w:val="002B560A"/>
    <w:rsid w:val="002B6936"/>
    <w:rsid w:val="002C093F"/>
    <w:rsid w:val="002C2EE7"/>
    <w:rsid w:val="002C7462"/>
    <w:rsid w:val="002D08B3"/>
    <w:rsid w:val="002D0B78"/>
    <w:rsid w:val="002E0383"/>
    <w:rsid w:val="002E099B"/>
    <w:rsid w:val="002E2F04"/>
    <w:rsid w:val="002E3410"/>
    <w:rsid w:val="002E4C73"/>
    <w:rsid w:val="002F0E17"/>
    <w:rsid w:val="002F758A"/>
    <w:rsid w:val="00300085"/>
    <w:rsid w:val="0030759F"/>
    <w:rsid w:val="00310CB4"/>
    <w:rsid w:val="00311571"/>
    <w:rsid w:val="00312F86"/>
    <w:rsid w:val="003167FF"/>
    <w:rsid w:val="00320698"/>
    <w:rsid w:val="0032267A"/>
    <w:rsid w:val="003228B6"/>
    <w:rsid w:val="00323138"/>
    <w:rsid w:val="00323D01"/>
    <w:rsid w:val="003243B8"/>
    <w:rsid w:val="00325A49"/>
    <w:rsid w:val="00330986"/>
    <w:rsid w:val="00331B78"/>
    <w:rsid w:val="00340413"/>
    <w:rsid w:val="003413EF"/>
    <w:rsid w:val="00341FEF"/>
    <w:rsid w:val="0034559E"/>
    <w:rsid w:val="00351D5A"/>
    <w:rsid w:val="00352969"/>
    <w:rsid w:val="00355F4B"/>
    <w:rsid w:val="00356A69"/>
    <w:rsid w:val="00360D89"/>
    <w:rsid w:val="003626D2"/>
    <w:rsid w:val="003659A9"/>
    <w:rsid w:val="003669A6"/>
    <w:rsid w:val="0037374F"/>
    <w:rsid w:val="0037693D"/>
    <w:rsid w:val="00377FEF"/>
    <w:rsid w:val="003841D6"/>
    <w:rsid w:val="003850D2"/>
    <w:rsid w:val="00385631"/>
    <w:rsid w:val="00387524"/>
    <w:rsid w:val="00394A58"/>
    <w:rsid w:val="003A267C"/>
    <w:rsid w:val="003A31D2"/>
    <w:rsid w:val="003B0C99"/>
    <w:rsid w:val="003B1986"/>
    <w:rsid w:val="003B349F"/>
    <w:rsid w:val="003C0FB8"/>
    <w:rsid w:val="003C3111"/>
    <w:rsid w:val="003C3B40"/>
    <w:rsid w:val="003C44EA"/>
    <w:rsid w:val="003C454F"/>
    <w:rsid w:val="003C4680"/>
    <w:rsid w:val="003C5266"/>
    <w:rsid w:val="003C6C61"/>
    <w:rsid w:val="003D03AC"/>
    <w:rsid w:val="003D08DA"/>
    <w:rsid w:val="003D3748"/>
    <w:rsid w:val="003E15E8"/>
    <w:rsid w:val="003E199F"/>
    <w:rsid w:val="003F0043"/>
    <w:rsid w:val="003F280E"/>
    <w:rsid w:val="003F685C"/>
    <w:rsid w:val="003F6E38"/>
    <w:rsid w:val="003F7996"/>
    <w:rsid w:val="0040223E"/>
    <w:rsid w:val="004032B8"/>
    <w:rsid w:val="00405F7F"/>
    <w:rsid w:val="00405FF4"/>
    <w:rsid w:val="0040736E"/>
    <w:rsid w:val="00407DF5"/>
    <w:rsid w:val="0041105F"/>
    <w:rsid w:val="00416BC3"/>
    <w:rsid w:val="00420DBE"/>
    <w:rsid w:val="00421752"/>
    <w:rsid w:val="00422165"/>
    <w:rsid w:val="00423C58"/>
    <w:rsid w:val="0042491C"/>
    <w:rsid w:val="00425DDB"/>
    <w:rsid w:val="00425F03"/>
    <w:rsid w:val="00432294"/>
    <w:rsid w:val="004328A7"/>
    <w:rsid w:val="004368ED"/>
    <w:rsid w:val="00437F46"/>
    <w:rsid w:val="004405AE"/>
    <w:rsid w:val="004419D1"/>
    <w:rsid w:val="00442F58"/>
    <w:rsid w:val="00446C97"/>
    <w:rsid w:val="00450F4A"/>
    <w:rsid w:val="00453187"/>
    <w:rsid w:val="00454D85"/>
    <w:rsid w:val="00460EF3"/>
    <w:rsid w:val="004656E7"/>
    <w:rsid w:val="00473406"/>
    <w:rsid w:val="00473662"/>
    <w:rsid w:val="00477CB3"/>
    <w:rsid w:val="004800D7"/>
    <w:rsid w:val="00480743"/>
    <w:rsid w:val="0048477A"/>
    <w:rsid w:val="0049289D"/>
    <w:rsid w:val="00492B28"/>
    <w:rsid w:val="00494D3B"/>
    <w:rsid w:val="0049791F"/>
    <w:rsid w:val="004A1906"/>
    <w:rsid w:val="004A4FF5"/>
    <w:rsid w:val="004B152C"/>
    <w:rsid w:val="004C5E9F"/>
    <w:rsid w:val="004D2635"/>
    <w:rsid w:val="004D31C4"/>
    <w:rsid w:val="004D3419"/>
    <w:rsid w:val="004D5D98"/>
    <w:rsid w:val="004F3250"/>
    <w:rsid w:val="004F5760"/>
    <w:rsid w:val="004F62AA"/>
    <w:rsid w:val="00501656"/>
    <w:rsid w:val="005018A1"/>
    <w:rsid w:val="00502D5F"/>
    <w:rsid w:val="00504D6B"/>
    <w:rsid w:val="005059B3"/>
    <w:rsid w:val="00516194"/>
    <w:rsid w:val="00521401"/>
    <w:rsid w:val="00525874"/>
    <w:rsid w:val="005274B0"/>
    <w:rsid w:val="005278D8"/>
    <w:rsid w:val="00531AC6"/>
    <w:rsid w:val="00531BA9"/>
    <w:rsid w:val="00532BDE"/>
    <w:rsid w:val="005339D0"/>
    <w:rsid w:val="005371F9"/>
    <w:rsid w:val="0053735F"/>
    <w:rsid w:val="00537577"/>
    <w:rsid w:val="00537628"/>
    <w:rsid w:val="005408D1"/>
    <w:rsid w:val="005515AF"/>
    <w:rsid w:val="005526D7"/>
    <w:rsid w:val="00554D7A"/>
    <w:rsid w:val="005609B2"/>
    <w:rsid w:val="00563148"/>
    <w:rsid w:val="00564900"/>
    <w:rsid w:val="00567DD6"/>
    <w:rsid w:val="00570147"/>
    <w:rsid w:val="0057408A"/>
    <w:rsid w:val="0057760A"/>
    <w:rsid w:val="0058089B"/>
    <w:rsid w:val="00591D10"/>
    <w:rsid w:val="00596A7C"/>
    <w:rsid w:val="00596C8D"/>
    <w:rsid w:val="005A3D7D"/>
    <w:rsid w:val="005A51CB"/>
    <w:rsid w:val="005A6545"/>
    <w:rsid w:val="005B2624"/>
    <w:rsid w:val="005B29C2"/>
    <w:rsid w:val="005B4D41"/>
    <w:rsid w:val="005B5D43"/>
    <w:rsid w:val="005B6211"/>
    <w:rsid w:val="005C654B"/>
    <w:rsid w:val="005C688D"/>
    <w:rsid w:val="005C6F57"/>
    <w:rsid w:val="005D4E01"/>
    <w:rsid w:val="005E5ABA"/>
    <w:rsid w:val="005E6316"/>
    <w:rsid w:val="005E6DB6"/>
    <w:rsid w:val="005E70DC"/>
    <w:rsid w:val="005F024E"/>
    <w:rsid w:val="005F26FE"/>
    <w:rsid w:val="005F376F"/>
    <w:rsid w:val="00602F08"/>
    <w:rsid w:val="00607E71"/>
    <w:rsid w:val="00613ECA"/>
    <w:rsid w:val="006150EE"/>
    <w:rsid w:val="0061603D"/>
    <w:rsid w:val="00620BFC"/>
    <w:rsid w:val="006238C3"/>
    <w:rsid w:val="00625231"/>
    <w:rsid w:val="00625D20"/>
    <w:rsid w:val="00631CCF"/>
    <w:rsid w:val="00632399"/>
    <w:rsid w:val="0063643B"/>
    <w:rsid w:val="00636C8E"/>
    <w:rsid w:val="00637A52"/>
    <w:rsid w:val="00641B03"/>
    <w:rsid w:val="00641B1D"/>
    <w:rsid w:val="00641E6F"/>
    <w:rsid w:val="0064402A"/>
    <w:rsid w:val="006447A6"/>
    <w:rsid w:val="00644C1A"/>
    <w:rsid w:val="00646103"/>
    <w:rsid w:val="006467BF"/>
    <w:rsid w:val="00646E41"/>
    <w:rsid w:val="00650D6F"/>
    <w:rsid w:val="00653EE3"/>
    <w:rsid w:val="0066067A"/>
    <w:rsid w:val="0066322F"/>
    <w:rsid w:val="00663411"/>
    <w:rsid w:val="0066695B"/>
    <w:rsid w:val="00670223"/>
    <w:rsid w:val="0067268E"/>
    <w:rsid w:val="00673EE0"/>
    <w:rsid w:val="006744C6"/>
    <w:rsid w:val="006747FD"/>
    <w:rsid w:val="006764F4"/>
    <w:rsid w:val="00677F9F"/>
    <w:rsid w:val="00681DAC"/>
    <w:rsid w:val="0069356D"/>
    <w:rsid w:val="006A21EA"/>
    <w:rsid w:val="006A4628"/>
    <w:rsid w:val="006A6E24"/>
    <w:rsid w:val="006A781D"/>
    <w:rsid w:val="006B6054"/>
    <w:rsid w:val="006C37FF"/>
    <w:rsid w:val="006C5225"/>
    <w:rsid w:val="006D0224"/>
    <w:rsid w:val="006D5A5F"/>
    <w:rsid w:val="006D5F86"/>
    <w:rsid w:val="006E2115"/>
    <w:rsid w:val="006E367E"/>
    <w:rsid w:val="006F31F5"/>
    <w:rsid w:val="006F48BC"/>
    <w:rsid w:val="00704163"/>
    <w:rsid w:val="00704F8D"/>
    <w:rsid w:val="0070594E"/>
    <w:rsid w:val="00713EE7"/>
    <w:rsid w:val="007153FE"/>
    <w:rsid w:val="00715FD5"/>
    <w:rsid w:val="007168C8"/>
    <w:rsid w:val="007221E2"/>
    <w:rsid w:val="007277B1"/>
    <w:rsid w:val="00731CD4"/>
    <w:rsid w:val="00732000"/>
    <w:rsid w:val="007374CA"/>
    <w:rsid w:val="00744B88"/>
    <w:rsid w:val="0075093C"/>
    <w:rsid w:val="007529A4"/>
    <w:rsid w:val="00754AA0"/>
    <w:rsid w:val="00763F27"/>
    <w:rsid w:val="007646CE"/>
    <w:rsid w:val="007658CA"/>
    <w:rsid w:val="00772560"/>
    <w:rsid w:val="0077489E"/>
    <w:rsid w:val="00783F14"/>
    <w:rsid w:val="007865E2"/>
    <w:rsid w:val="00793A98"/>
    <w:rsid w:val="007951BF"/>
    <w:rsid w:val="007970A3"/>
    <w:rsid w:val="007A1A28"/>
    <w:rsid w:val="007A52EB"/>
    <w:rsid w:val="007A6A51"/>
    <w:rsid w:val="007B127B"/>
    <w:rsid w:val="007B3A5C"/>
    <w:rsid w:val="007B4B22"/>
    <w:rsid w:val="007B50DD"/>
    <w:rsid w:val="007C0631"/>
    <w:rsid w:val="007C17D3"/>
    <w:rsid w:val="007C4E81"/>
    <w:rsid w:val="007D4E47"/>
    <w:rsid w:val="007D5770"/>
    <w:rsid w:val="007D73D8"/>
    <w:rsid w:val="007E136A"/>
    <w:rsid w:val="007E17FE"/>
    <w:rsid w:val="007E34D5"/>
    <w:rsid w:val="007E44DA"/>
    <w:rsid w:val="007F1213"/>
    <w:rsid w:val="007F32F7"/>
    <w:rsid w:val="00800832"/>
    <w:rsid w:val="00800CDA"/>
    <w:rsid w:val="008019C7"/>
    <w:rsid w:val="00801F5D"/>
    <w:rsid w:val="00802FA1"/>
    <w:rsid w:val="00810326"/>
    <w:rsid w:val="00810E8A"/>
    <w:rsid w:val="0081314D"/>
    <w:rsid w:val="00813EFB"/>
    <w:rsid w:val="0081420D"/>
    <w:rsid w:val="00821D07"/>
    <w:rsid w:val="008315F4"/>
    <w:rsid w:val="008334B0"/>
    <w:rsid w:val="00845D4F"/>
    <w:rsid w:val="00852498"/>
    <w:rsid w:val="00852F02"/>
    <w:rsid w:val="00854388"/>
    <w:rsid w:val="00855045"/>
    <w:rsid w:val="00855170"/>
    <w:rsid w:val="00861E7C"/>
    <w:rsid w:val="008624C6"/>
    <w:rsid w:val="00862B6B"/>
    <w:rsid w:val="00863711"/>
    <w:rsid w:val="00874959"/>
    <w:rsid w:val="00882EB5"/>
    <w:rsid w:val="008837C5"/>
    <w:rsid w:val="008852DE"/>
    <w:rsid w:val="0089021E"/>
    <w:rsid w:val="00893204"/>
    <w:rsid w:val="008932C0"/>
    <w:rsid w:val="00897502"/>
    <w:rsid w:val="008A2C16"/>
    <w:rsid w:val="008A5131"/>
    <w:rsid w:val="008A5769"/>
    <w:rsid w:val="008B3902"/>
    <w:rsid w:val="008B5E53"/>
    <w:rsid w:val="008B7000"/>
    <w:rsid w:val="008B769F"/>
    <w:rsid w:val="008C1874"/>
    <w:rsid w:val="008C5439"/>
    <w:rsid w:val="008C6138"/>
    <w:rsid w:val="008C7EDD"/>
    <w:rsid w:val="008C7FE9"/>
    <w:rsid w:val="008D0676"/>
    <w:rsid w:val="008E06A0"/>
    <w:rsid w:val="008E1657"/>
    <w:rsid w:val="008E5C85"/>
    <w:rsid w:val="008E68B0"/>
    <w:rsid w:val="008F309C"/>
    <w:rsid w:val="00903C5F"/>
    <w:rsid w:val="00903ECB"/>
    <w:rsid w:val="0090703A"/>
    <w:rsid w:val="00910088"/>
    <w:rsid w:val="00911AEB"/>
    <w:rsid w:val="00912A15"/>
    <w:rsid w:val="00916334"/>
    <w:rsid w:val="0092108D"/>
    <w:rsid w:val="009306B3"/>
    <w:rsid w:val="00930A0B"/>
    <w:rsid w:val="00931BB3"/>
    <w:rsid w:val="0093246D"/>
    <w:rsid w:val="0093357D"/>
    <w:rsid w:val="00935D9C"/>
    <w:rsid w:val="0093614D"/>
    <w:rsid w:val="009378AA"/>
    <w:rsid w:val="00946186"/>
    <w:rsid w:val="009517CD"/>
    <w:rsid w:val="00952088"/>
    <w:rsid w:val="00955192"/>
    <w:rsid w:val="00961FF4"/>
    <w:rsid w:val="00971935"/>
    <w:rsid w:val="00972962"/>
    <w:rsid w:val="00972F56"/>
    <w:rsid w:val="009752A7"/>
    <w:rsid w:val="0097673C"/>
    <w:rsid w:val="00981893"/>
    <w:rsid w:val="0098245D"/>
    <w:rsid w:val="00985653"/>
    <w:rsid w:val="0098680F"/>
    <w:rsid w:val="0099297B"/>
    <w:rsid w:val="009942FA"/>
    <w:rsid w:val="009A4399"/>
    <w:rsid w:val="009A64B6"/>
    <w:rsid w:val="009A7863"/>
    <w:rsid w:val="009B0395"/>
    <w:rsid w:val="009B2326"/>
    <w:rsid w:val="009B2B41"/>
    <w:rsid w:val="009B7848"/>
    <w:rsid w:val="009C0254"/>
    <w:rsid w:val="009C183E"/>
    <w:rsid w:val="009C2466"/>
    <w:rsid w:val="009C4819"/>
    <w:rsid w:val="009C61B1"/>
    <w:rsid w:val="009C6C67"/>
    <w:rsid w:val="009C7154"/>
    <w:rsid w:val="009D3E4E"/>
    <w:rsid w:val="009E00CC"/>
    <w:rsid w:val="009E0433"/>
    <w:rsid w:val="009E0558"/>
    <w:rsid w:val="009E1A39"/>
    <w:rsid w:val="009E5EA9"/>
    <w:rsid w:val="009E6B3D"/>
    <w:rsid w:val="009E6E84"/>
    <w:rsid w:val="009F15B2"/>
    <w:rsid w:val="009F3F35"/>
    <w:rsid w:val="00A007F2"/>
    <w:rsid w:val="00A00F94"/>
    <w:rsid w:val="00A05A7D"/>
    <w:rsid w:val="00A06E0B"/>
    <w:rsid w:val="00A14DA4"/>
    <w:rsid w:val="00A20453"/>
    <w:rsid w:val="00A25089"/>
    <w:rsid w:val="00A25E97"/>
    <w:rsid w:val="00A25F73"/>
    <w:rsid w:val="00A263FF"/>
    <w:rsid w:val="00A31441"/>
    <w:rsid w:val="00A31DEE"/>
    <w:rsid w:val="00A35792"/>
    <w:rsid w:val="00A36145"/>
    <w:rsid w:val="00A3775D"/>
    <w:rsid w:val="00A41191"/>
    <w:rsid w:val="00A423BD"/>
    <w:rsid w:val="00A43AF1"/>
    <w:rsid w:val="00A452F9"/>
    <w:rsid w:val="00A50C01"/>
    <w:rsid w:val="00A51C59"/>
    <w:rsid w:val="00A5663A"/>
    <w:rsid w:val="00A705DF"/>
    <w:rsid w:val="00A71F19"/>
    <w:rsid w:val="00A74DEA"/>
    <w:rsid w:val="00A75B6B"/>
    <w:rsid w:val="00A761A8"/>
    <w:rsid w:val="00A84E71"/>
    <w:rsid w:val="00A8715E"/>
    <w:rsid w:val="00A9308D"/>
    <w:rsid w:val="00A94B11"/>
    <w:rsid w:val="00AA5015"/>
    <w:rsid w:val="00AA7EFA"/>
    <w:rsid w:val="00AC03E4"/>
    <w:rsid w:val="00AC04FE"/>
    <w:rsid w:val="00AC6A22"/>
    <w:rsid w:val="00AE03DC"/>
    <w:rsid w:val="00AE4BA3"/>
    <w:rsid w:val="00AE6656"/>
    <w:rsid w:val="00AF25D5"/>
    <w:rsid w:val="00AF36D9"/>
    <w:rsid w:val="00AF4F43"/>
    <w:rsid w:val="00B049DC"/>
    <w:rsid w:val="00B13BC1"/>
    <w:rsid w:val="00B13FA1"/>
    <w:rsid w:val="00B14F80"/>
    <w:rsid w:val="00B165DB"/>
    <w:rsid w:val="00B17CC3"/>
    <w:rsid w:val="00B24D03"/>
    <w:rsid w:val="00B3031D"/>
    <w:rsid w:val="00B3180B"/>
    <w:rsid w:val="00B348FA"/>
    <w:rsid w:val="00B36244"/>
    <w:rsid w:val="00B370CD"/>
    <w:rsid w:val="00B414F7"/>
    <w:rsid w:val="00B41F9A"/>
    <w:rsid w:val="00B66736"/>
    <w:rsid w:val="00B673CC"/>
    <w:rsid w:val="00B7372B"/>
    <w:rsid w:val="00B7642D"/>
    <w:rsid w:val="00B76478"/>
    <w:rsid w:val="00B8342A"/>
    <w:rsid w:val="00B840F4"/>
    <w:rsid w:val="00B84A28"/>
    <w:rsid w:val="00B8514D"/>
    <w:rsid w:val="00B91403"/>
    <w:rsid w:val="00B92FF0"/>
    <w:rsid w:val="00B951D6"/>
    <w:rsid w:val="00B97945"/>
    <w:rsid w:val="00BA470A"/>
    <w:rsid w:val="00BA716B"/>
    <w:rsid w:val="00BB36A3"/>
    <w:rsid w:val="00BB72B1"/>
    <w:rsid w:val="00BC2726"/>
    <w:rsid w:val="00BC783A"/>
    <w:rsid w:val="00BD1B26"/>
    <w:rsid w:val="00BD7D6A"/>
    <w:rsid w:val="00BE1D4E"/>
    <w:rsid w:val="00BE24AA"/>
    <w:rsid w:val="00BE336C"/>
    <w:rsid w:val="00BF1340"/>
    <w:rsid w:val="00BF240A"/>
    <w:rsid w:val="00BF4CC9"/>
    <w:rsid w:val="00C045DA"/>
    <w:rsid w:val="00C05BAD"/>
    <w:rsid w:val="00C07664"/>
    <w:rsid w:val="00C1257A"/>
    <w:rsid w:val="00C14729"/>
    <w:rsid w:val="00C15BCE"/>
    <w:rsid w:val="00C16281"/>
    <w:rsid w:val="00C240D4"/>
    <w:rsid w:val="00C25F3D"/>
    <w:rsid w:val="00C27EA9"/>
    <w:rsid w:val="00C34E7E"/>
    <w:rsid w:val="00C360B3"/>
    <w:rsid w:val="00C41C43"/>
    <w:rsid w:val="00C423E1"/>
    <w:rsid w:val="00C46950"/>
    <w:rsid w:val="00C54D9F"/>
    <w:rsid w:val="00C55EFD"/>
    <w:rsid w:val="00C60970"/>
    <w:rsid w:val="00C61E0F"/>
    <w:rsid w:val="00C67AB6"/>
    <w:rsid w:val="00C72EDD"/>
    <w:rsid w:val="00C80381"/>
    <w:rsid w:val="00C82477"/>
    <w:rsid w:val="00C824D2"/>
    <w:rsid w:val="00C82B4B"/>
    <w:rsid w:val="00C841EE"/>
    <w:rsid w:val="00C86A83"/>
    <w:rsid w:val="00C87AD3"/>
    <w:rsid w:val="00C91B57"/>
    <w:rsid w:val="00C95848"/>
    <w:rsid w:val="00C97039"/>
    <w:rsid w:val="00CA7194"/>
    <w:rsid w:val="00CA7FCF"/>
    <w:rsid w:val="00CB46DA"/>
    <w:rsid w:val="00CC082A"/>
    <w:rsid w:val="00CD22DC"/>
    <w:rsid w:val="00CD38BE"/>
    <w:rsid w:val="00CD48DA"/>
    <w:rsid w:val="00CD4AC9"/>
    <w:rsid w:val="00CD51BD"/>
    <w:rsid w:val="00CD5D99"/>
    <w:rsid w:val="00CE0E57"/>
    <w:rsid w:val="00CE118C"/>
    <w:rsid w:val="00CE1E9B"/>
    <w:rsid w:val="00CE53C1"/>
    <w:rsid w:val="00CE6289"/>
    <w:rsid w:val="00CE6946"/>
    <w:rsid w:val="00CF15C1"/>
    <w:rsid w:val="00CF169F"/>
    <w:rsid w:val="00D01EFF"/>
    <w:rsid w:val="00D05744"/>
    <w:rsid w:val="00D07B12"/>
    <w:rsid w:val="00D1478F"/>
    <w:rsid w:val="00D15AE6"/>
    <w:rsid w:val="00D15ED4"/>
    <w:rsid w:val="00D22955"/>
    <w:rsid w:val="00D314A8"/>
    <w:rsid w:val="00D31843"/>
    <w:rsid w:val="00D35BD8"/>
    <w:rsid w:val="00D36331"/>
    <w:rsid w:val="00D50537"/>
    <w:rsid w:val="00D520A8"/>
    <w:rsid w:val="00D55A50"/>
    <w:rsid w:val="00D56EFD"/>
    <w:rsid w:val="00D60C7E"/>
    <w:rsid w:val="00D63A57"/>
    <w:rsid w:val="00D640EE"/>
    <w:rsid w:val="00D67F71"/>
    <w:rsid w:val="00D730DA"/>
    <w:rsid w:val="00D812E6"/>
    <w:rsid w:val="00D87057"/>
    <w:rsid w:val="00D910B6"/>
    <w:rsid w:val="00D95631"/>
    <w:rsid w:val="00DA3675"/>
    <w:rsid w:val="00DA3745"/>
    <w:rsid w:val="00DA42CF"/>
    <w:rsid w:val="00DA5D88"/>
    <w:rsid w:val="00DA751B"/>
    <w:rsid w:val="00DB1244"/>
    <w:rsid w:val="00DB45FC"/>
    <w:rsid w:val="00DB47E2"/>
    <w:rsid w:val="00DB5BDD"/>
    <w:rsid w:val="00DB6387"/>
    <w:rsid w:val="00DC0FE8"/>
    <w:rsid w:val="00DC1239"/>
    <w:rsid w:val="00DC19A9"/>
    <w:rsid w:val="00DC3013"/>
    <w:rsid w:val="00DD17FE"/>
    <w:rsid w:val="00DD3562"/>
    <w:rsid w:val="00DD37DB"/>
    <w:rsid w:val="00DE1295"/>
    <w:rsid w:val="00DE2B5F"/>
    <w:rsid w:val="00DE4C12"/>
    <w:rsid w:val="00DF2D2E"/>
    <w:rsid w:val="00DF4F00"/>
    <w:rsid w:val="00DF6BCB"/>
    <w:rsid w:val="00E03ABB"/>
    <w:rsid w:val="00E04B61"/>
    <w:rsid w:val="00E07192"/>
    <w:rsid w:val="00E11856"/>
    <w:rsid w:val="00E1413D"/>
    <w:rsid w:val="00E14A78"/>
    <w:rsid w:val="00E14F63"/>
    <w:rsid w:val="00E21F9E"/>
    <w:rsid w:val="00E220A0"/>
    <w:rsid w:val="00E22269"/>
    <w:rsid w:val="00E24102"/>
    <w:rsid w:val="00E24530"/>
    <w:rsid w:val="00E27F12"/>
    <w:rsid w:val="00E3479C"/>
    <w:rsid w:val="00E3507D"/>
    <w:rsid w:val="00E444EA"/>
    <w:rsid w:val="00E45949"/>
    <w:rsid w:val="00E461F9"/>
    <w:rsid w:val="00E51012"/>
    <w:rsid w:val="00E5696C"/>
    <w:rsid w:val="00E60D38"/>
    <w:rsid w:val="00E66468"/>
    <w:rsid w:val="00E7121D"/>
    <w:rsid w:val="00E724E4"/>
    <w:rsid w:val="00E73676"/>
    <w:rsid w:val="00E8475A"/>
    <w:rsid w:val="00E86199"/>
    <w:rsid w:val="00E8644B"/>
    <w:rsid w:val="00E906FA"/>
    <w:rsid w:val="00E95BE2"/>
    <w:rsid w:val="00EA2A6F"/>
    <w:rsid w:val="00EA7218"/>
    <w:rsid w:val="00EA729A"/>
    <w:rsid w:val="00EA76E8"/>
    <w:rsid w:val="00EB13D3"/>
    <w:rsid w:val="00EB1892"/>
    <w:rsid w:val="00EB1C1E"/>
    <w:rsid w:val="00EB1D19"/>
    <w:rsid w:val="00EB31AF"/>
    <w:rsid w:val="00EB56CA"/>
    <w:rsid w:val="00EC19F3"/>
    <w:rsid w:val="00EC2F04"/>
    <w:rsid w:val="00EC640F"/>
    <w:rsid w:val="00ED11D8"/>
    <w:rsid w:val="00ED152B"/>
    <w:rsid w:val="00ED5E73"/>
    <w:rsid w:val="00EE201A"/>
    <w:rsid w:val="00EE3375"/>
    <w:rsid w:val="00EE34F6"/>
    <w:rsid w:val="00EE3E9C"/>
    <w:rsid w:val="00EE3EB9"/>
    <w:rsid w:val="00EE6403"/>
    <w:rsid w:val="00EF0CB2"/>
    <w:rsid w:val="00EF421E"/>
    <w:rsid w:val="00EF5987"/>
    <w:rsid w:val="00EF5EF4"/>
    <w:rsid w:val="00F044F5"/>
    <w:rsid w:val="00F07631"/>
    <w:rsid w:val="00F07981"/>
    <w:rsid w:val="00F137D2"/>
    <w:rsid w:val="00F1395D"/>
    <w:rsid w:val="00F1434A"/>
    <w:rsid w:val="00F24B53"/>
    <w:rsid w:val="00F25130"/>
    <w:rsid w:val="00F27C47"/>
    <w:rsid w:val="00F334E6"/>
    <w:rsid w:val="00F34325"/>
    <w:rsid w:val="00F400FD"/>
    <w:rsid w:val="00F44377"/>
    <w:rsid w:val="00F457F2"/>
    <w:rsid w:val="00F47765"/>
    <w:rsid w:val="00F502CF"/>
    <w:rsid w:val="00F56D80"/>
    <w:rsid w:val="00F6043F"/>
    <w:rsid w:val="00F62A2C"/>
    <w:rsid w:val="00F657FF"/>
    <w:rsid w:val="00F704D6"/>
    <w:rsid w:val="00F70F84"/>
    <w:rsid w:val="00F747C9"/>
    <w:rsid w:val="00F75DAB"/>
    <w:rsid w:val="00F76EE9"/>
    <w:rsid w:val="00F82265"/>
    <w:rsid w:val="00F82E15"/>
    <w:rsid w:val="00F870D6"/>
    <w:rsid w:val="00F92D1A"/>
    <w:rsid w:val="00F95C50"/>
    <w:rsid w:val="00F966A6"/>
    <w:rsid w:val="00FA2384"/>
    <w:rsid w:val="00FA398B"/>
    <w:rsid w:val="00FA4FEF"/>
    <w:rsid w:val="00FB4EFC"/>
    <w:rsid w:val="00FB71E6"/>
    <w:rsid w:val="00FC2BB1"/>
    <w:rsid w:val="00FC3855"/>
    <w:rsid w:val="00FC50B5"/>
    <w:rsid w:val="00FC6FF2"/>
    <w:rsid w:val="00FC70AB"/>
    <w:rsid w:val="00FD04F1"/>
    <w:rsid w:val="00FD30C6"/>
    <w:rsid w:val="00FD677D"/>
    <w:rsid w:val="00FE381F"/>
    <w:rsid w:val="00FE60FD"/>
    <w:rsid w:val="00FE64CE"/>
    <w:rsid w:val="00FE79B2"/>
    <w:rsid w:val="00FF32BE"/>
    <w:rsid w:val="00FF5785"/>
    <w:rsid w:val="00FF6F2D"/>
    <w:rsid w:val="011C6444"/>
    <w:rsid w:val="014D1CAE"/>
    <w:rsid w:val="01B341B4"/>
    <w:rsid w:val="02266ED1"/>
    <w:rsid w:val="028D69F4"/>
    <w:rsid w:val="02A341DD"/>
    <w:rsid w:val="02A77231"/>
    <w:rsid w:val="02C31E37"/>
    <w:rsid w:val="031746B2"/>
    <w:rsid w:val="03435EDF"/>
    <w:rsid w:val="03710303"/>
    <w:rsid w:val="03BF3633"/>
    <w:rsid w:val="03FC1727"/>
    <w:rsid w:val="040C3D00"/>
    <w:rsid w:val="04387E54"/>
    <w:rsid w:val="043A7B74"/>
    <w:rsid w:val="0453451D"/>
    <w:rsid w:val="056F03D0"/>
    <w:rsid w:val="05A2665A"/>
    <w:rsid w:val="05E16135"/>
    <w:rsid w:val="06207EBF"/>
    <w:rsid w:val="06BD338B"/>
    <w:rsid w:val="06C238C5"/>
    <w:rsid w:val="073E2145"/>
    <w:rsid w:val="076D4E3E"/>
    <w:rsid w:val="08092F65"/>
    <w:rsid w:val="08A33195"/>
    <w:rsid w:val="08A83E64"/>
    <w:rsid w:val="08CC3BDD"/>
    <w:rsid w:val="08EA544B"/>
    <w:rsid w:val="097464A9"/>
    <w:rsid w:val="099537DF"/>
    <w:rsid w:val="099F5662"/>
    <w:rsid w:val="09A17FF1"/>
    <w:rsid w:val="0A3331DA"/>
    <w:rsid w:val="0A6A47DB"/>
    <w:rsid w:val="0AB8713B"/>
    <w:rsid w:val="0AF52CB1"/>
    <w:rsid w:val="0B1E035D"/>
    <w:rsid w:val="0B1E3A49"/>
    <w:rsid w:val="0B373D8B"/>
    <w:rsid w:val="0BBE1A8F"/>
    <w:rsid w:val="0BD15865"/>
    <w:rsid w:val="0BD75C95"/>
    <w:rsid w:val="0BEF3C64"/>
    <w:rsid w:val="0C8F4A51"/>
    <w:rsid w:val="0CBF4A98"/>
    <w:rsid w:val="0CCF0E7E"/>
    <w:rsid w:val="0CFF684D"/>
    <w:rsid w:val="0D195AD5"/>
    <w:rsid w:val="0D9D2824"/>
    <w:rsid w:val="0DDD29D2"/>
    <w:rsid w:val="0FDC3CD5"/>
    <w:rsid w:val="10277644"/>
    <w:rsid w:val="104837AF"/>
    <w:rsid w:val="1147450E"/>
    <w:rsid w:val="11D407C3"/>
    <w:rsid w:val="12171F4B"/>
    <w:rsid w:val="12EA5694"/>
    <w:rsid w:val="136D0538"/>
    <w:rsid w:val="139244C7"/>
    <w:rsid w:val="13BF3469"/>
    <w:rsid w:val="14A84FDE"/>
    <w:rsid w:val="14EE5FC3"/>
    <w:rsid w:val="14FB61C1"/>
    <w:rsid w:val="15441845"/>
    <w:rsid w:val="156C2CFC"/>
    <w:rsid w:val="1628797E"/>
    <w:rsid w:val="1630054D"/>
    <w:rsid w:val="1636125A"/>
    <w:rsid w:val="164A3D8D"/>
    <w:rsid w:val="16BE7FCD"/>
    <w:rsid w:val="16CA7260"/>
    <w:rsid w:val="16ED1A13"/>
    <w:rsid w:val="1716762E"/>
    <w:rsid w:val="172375E9"/>
    <w:rsid w:val="177B09B8"/>
    <w:rsid w:val="17FC5A55"/>
    <w:rsid w:val="181C44CC"/>
    <w:rsid w:val="186220EB"/>
    <w:rsid w:val="18811D3B"/>
    <w:rsid w:val="18A37B8A"/>
    <w:rsid w:val="18C70C9D"/>
    <w:rsid w:val="18EA7F31"/>
    <w:rsid w:val="192F3B4D"/>
    <w:rsid w:val="19453941"/>
    <w:rsid w:val="19C66ACE"/>
    <w:rsid w:val="19F5691F"/>
    <w:rsid w:val="1A1B1462"/>
    <w:rsid w:val="1A54779C"/>
    <w:rsid w:val="1A890A4E"/>
    <w:rsid w:val="1A8F7E49"/>
    <w:rsid w:val="1ADC7A96"/>
    <w:rsid w:val="1B832D33"/>
    <w:rsid w:val="1C45010A"/>
    <w:rsid w:val="1CA9001B"/>
    <w:rsid w:val="1CE6677C"/>
    <w:rsid w:val="1CF60A8C"/>
    <w:rsid w:val="1D1A395D"/>
    <w:rsid w:val="1D5A2EEC"/>
    <w:rsid w:val="1D8F73C3"/>
    <w:rsid w:val="1DA34014"/>
    <w:rsid w:val="1DA35697"/>
    <w:rsid w:val="1DAD5EFF"/>
    <w:rsid w:val="1E8A46A5"/>
    <w:rsid w:val="1EC07D1C"/>
    <w:rsid w:val="1EC221B9"/>
    <w:rsid w:val="1F5B237A"/>
    <w:rsid w:val="1F9E46B3"/>
    <w:rsid w:val="200B6F9B"/>
    <w:rsid w:val="2070078D"/>
    <w:rsid w:val="20D62AB7"/>
    <w:rsid w:val="21707E43"/>
    <w:rsid w:val="21AF72ED"/>
    <w:rsid w:val="21B7795E"/>
    <w:rsid w:val="220B1C42"/>
    <w:rsid w:val="220E3DFB"/>
    <w:rsid w:val="22457F93"/>
    <w:rsid w:val="22D36B75"/>
    <w:rsid w:val="22DF0174"/>
    <w:rsid w:val="23280470"/>
    <w:rsid w:val="236C62A4"/>
    <w:rsid w:val="24314F13"/>
    <w:rsid w:val="24CC67C8"/>
    <w:rsid w:val="24D45AA2"/>
    <w:rsid w:val="25C32584"/>
    <w:rsid w:val="25FE4CC0"/>
    <w:rsid w:val="262C0044"/>
    <w:rsid w:val="264B07FB"/>
    <w:rsid w:val="267853AF"/>
    <w:rsid w:val="26832240"/>
    <w:rsid w:val="27C10C2A"/>
    <w:rsid w:val="27E732FD"/>
    <w:rsid w:val="27F52A6E"/>
    <w:rsid w:val="28B5571F"/>
    <w:rsid w:val="28C70515"/>
    <w:rsid w:val="28CF25EF"/>
    <w:rsid w:val="29282E67"/>
    <w:rsid w:val="294D1FEA"/>
    <w:rsid w:val="29581385"/>
    <w:rsid w:val="29B1609C"/>
    <w:rsid w:val="2AC34719"/>
    <w:rsid w:val="2B236CE0"/>
    <w:rsid w:val="2B384BE9"/>
    <w:rsid w:val="2B8F4A86"/>
    <w:rsid w:val="2C9479C5"/>
    <w:rsid w:val="2CB3228F"/>
    <w:rsid w:val="2CC52447"/>
    <w:rsid w:val="2CEC3A63"/>
    <w:rsid w:val="2CFC18F2"/>
    <w:rsid w:val="2D1255D2"/>
    <w:rsid w:val="2D34122E"/>
    <w:rsid w:val="2D98356D"/>
    <w:rsid w:val="2E055E0B"/>
    <w:rsid w:val="2E695354"/>
    <w:rsid w:val="2E936A61"/>
    <w:rsid w:val="2F1700EA"/>
    <w:rsid w:val="2F2E6697"/>
    <w:rsid w:val="2F330054"/>
    <w:rsid w:val="2FD44790"/>
    <w:rsid w:val="300B7A3C"/>
    <w:rsid w:val="31053581"/>
    <w:rsid w:val="34523D81"/>
    <w:rsid w:val="35061E31"/>
    <w:rsid w:val="35184386"/>
    <w:rsid w:val="35616D3B"/>
    <w:rsid w:val="35810232"/>
    <w:rsid w:val="359A3A4B"/>
    <w:rsid w:val="35B13019"/>
    <w:rsid w:val="35C24E6A"/>
    <w:rsid w:val="36637BE8"/>
    <w:rsid w:val="368163A5"/>
    <w:rsid w:val="36945232"/>
    <w:rsid w:val="36AA5BA5"/>
    <w:rsid w:val="36BF3FB4"/>
    <w:rsid w:val="36CB4E4B"/>
    <w:rsid w:val="36E148D7"/>
    <w:rsid w:val="374B75EA"/>
    <w:rsid w:val="37BF20B0"/>
    <w:rsid w:val="382900D4"/>
    <w:rsid w:val="39A738BB"/>
    <w:rsid w:val="39E7662C"/>
    <w:rsid w:val="39FF7F6F"/>
    <w:rsid w:val="3A5664EE"/>
    <w:rsid w:val="3A682388"/>
    <w:rsid w:val="3A9E7049"/>
    <w:rsid w:val="3AA50EC9"/>
    <w:rsid w:val="3AEB75A6"/>
    <w:rsid w:val="3BA00317"/>
    <w:rsid w:val="3BCA592D"/>
    <w:rsid w:val="3D23667A"/>
    <w:rsid w:val="3D256E8B"/>
    <w:rsid w:val="3D3001D5"/>
    <w:rsid w:val="3D596A21"/>
    <w:rsid w:val="3D6465B0"/>
    <w:rsid w:val="3E0633C3"/>
    <w:rsid w:val="3EB90F33"/>
    <w:rsid w:val="3F1139E1"/>
    <w:rsid w:val="401041F3"/>
    <w:rsid w:val="40A57E8B"/>
    <w:rsid w:val="40F24343"/>
    <w:rsid w:val="410D7447"/>
    <w:rsid w:val="41355BBD"/>
    <w:rsid w:val="4144751D"/>
    <w:rsid w:val="419275FD"/>
    <w:rsid w:val="4220464E"/>
    <w:rsid w:val="422415DD"/>
    <w:rsid w:val="42453414"/>
    <w:rsid w:val="42EC0203"/>
    <w:rsid w:val="4303480E"/>
    <w:rsid w:val="44047A84"/>
    <w:rsid w:val="44D91A62"/>
    <w:rsid w:val="450F5857"/>
    <w:rsid w:val="4556068A"/>
    <w:rsid w:val="457333AC"/>
    <w:rsid w:val="45A239FF"/>
    <w:rsid w:val="45B37497"/>
    <w:rsid w:val="45DB5A6A"/>
    <w:rsid w:val="45F21D97"/>
    <w:rsid w:val="46112578"/>
    <w:rsid w:val="46497B27"/>
    <w:rsid w:val="47021CC3"/>
    <w:rsid w:val="47142B07"/>
    <w:rsid w:val="4721753F"/>
    <w:rsid w:val="475C7E59"/>
    <w:rsid w:val="477F50D3"/>
    <w:rsid w:val="47C86A3B"/>
    <w:rsid w:val="48476FAB"/>
    <w:rsid w:val="485026F3"/>
    <w:rsid w:val="488034F4"/>
    <w:rsid w:val="4A296809"/>
    <w:rsid w:val="4AFC1865"/>
    <w:rsid w:val="4B2D09D4"/>
    <w:rsid w:val="4C090F8F"/>
    <w:rsid w:val="4C230C5B"/>
    <w:rsid w:val="4CBD1D19"/>
    <w:rsid w:val="4D7167D5"/>
    <w:rsid w:val="4DCE1B77"/>
    <w:rsid w:val="4E0F5B14"/>
    <w:rsid w:val="4EE100A1"/>
    <w:rsid w:val="4F14656D"/>
    <w:rsid w:val="4F214047"/>
    <w:rsid w:val="4F973B07"/>
    <w:rsid w:val="4FC268E7"/>
    <w:rsid w:val="501E10AB"/>
    <w:rsid w:val="504020B7"/>
    <w:rsid w:val="504524AE"/>
    <w:rsid w:val="506626F8"/>
    <w:rsid w:val="506B6877"/>
    <w:rsid w:val="50A67D54"/>
    <w:rsid w:val="50C1432F"/>
    <w:rsid w:val="512B3629"/>
    <w:rsid w:val="51937AE9"/>
    <w:rsid w:val="519F27E3"/>
    <w:rsid w:val="51C5649E"/>
    <w:rsid w:val="51CD6BA7"/>
    <w:rsid w:val="53040DA4"/>
    <w:rsid w:val="531A1501"/>
    <w:rsid w:val="535420D2"/>
    <w:rsid w:val="53626893"/>
    <w:rsid w:val="53BA3E51"/>
    <w:rsid w:val="54BB5B5D"/>
    <w:rsid w:val="54BC0BA1"/>
    <w:rsid w:val="54D30ED9"/>
    <w:rsid w:val="55942254"/>
    <w:rsid w:val="561979D0"/>
    <w:rsid w:val="56B129E1"/>
    <w:rsid w:val="56B64BB6"/>
    <w:rsid w:val="57397D0A"/>
    <w:rsid w:val="57496B7E"/>
    <w:rsid w:val="575A0026"/>
    <w:rsid w:val="576A2F2B"/>
    <w:rsid w:val="581C24E6"/>
    <w:rsid w:val="589D5DDD"/>
    <w:rsid w:val="59BF04F0"/>
    <w:rsid w:val="59C9400C"/>
    <w:rsid w:val="5A49659F"/>
    <w:rsid w:val="5A64127C"/>
    <w:rsid w:val="5A861FCD"/>
    <w:rsid w:val="5A8B0DCF"/>
    <w:rsid w:val="5B4575B3"/>
    <w:rsid w:val="5BA55DB8"/>
    <w:rsid w:val="5BA9480A"/>
    <w:rsid w:val="5C321869"/>
    <w:rsid w:val="5C4F63FE"/>
    <w:rsid w:val="5D3538A5"/>
    <w:rsid w:val="5D997CB7"/>
    <w:rsid w:val="5DFD5A97"/>
    <w:rsid w:val="5E063218"/>
    <w:rsid w:val="5ED85B04"/>
    <w:rsid w:val="5FBC4BA6"/>
    <w:rsid w:val="601E51D8"/>
    <w:rsid w:val="608F7B10"/>
    <w:rsid w:val="60A14269"/>
    <w:rsid w:val="619650C1"/>
    <w:rsid w:val="61DF03C7"/>
    <w:rsid w:val="61F07E1F"/>
    <w:rsid w:val="62095CC5"/>
    <w:rsid w:val="629A0FF3"/>
    <w:rsid w:val="62AB2FBD"/>
    <w:rsid w:val="62DA556C"/>
    <w:rsid w:val="63A96914"/>
    <w:rsid w:val="63CF5A26"/>
    <w:rsid w:val="64172486"/>
    <w:rsid w:val="64872239"/>
    <w:rsid w:val="655425F5"/>
    <w:rsid w:val="65AC0D98"/>
    <w:rsid w:val="65B420ED"/>
    <w:rsid w:val="663720F3"/>
    <w:rsid w:val="669C5C2C"/>
    <w:rsid w:val="67064313"/>
    <w:rsid w:val="67467393"/>
    <w:rsid w:val="677869A1"/>
    <w:rsid w:val="679821DE"/>
    <w:rsid w:val="6871002F"/>
    <w:rsid w:val="68BD4CC4"/>
    <w:rsid w:val="690F40C2"/>
    <w:rsid w:val="693B09AF"/>
    <w:rsid w:val="695474F1"/>
    <w:rsid w:val="695520A7"/>
    <w:rsid w:val="695F65F4"/>
    <w:rsid w:val="69667771"/>
    <w:rsid w:val="696E5563"/>
    <w:rsid w:val="69E16A48"/>
    <w:rsid w:val="6A78168E"/>
    <w:rsid w:val="6AC03F7F"/>
    <w:rsid w:val="6AE61D48"/>
    <w:rsid w:val="6AEC74B0"/>
    <w:rsid w:val="6B11305E"/>
    <w:rsid w:val="6B4644E2"/>
    <w:rsid w:val="6B6B3B2E"/>
    <w:rsid w:val="6BAF3F32"/>
    <w:rsid w:val="6C4D7620"/>
    <w:rsid w:val="6C8A1A3D"/>
    <w:rsid w:val="6C985627"/>
    <w:rsid w:val="6CCA5DAC"/>
    <w:rsid w:val="6CDD75C3"/>
    <w:rsid w:val="6D3D5FE9"/>
    <w:rsid w:val="6D8A0278"/>
    <w:rsid w:val="6DA63C2E"/>
    <w:rsid w:val="6DB714D2"/>
    <w:rsid w:val="6DBA7383"/>
    <w:rsid w:val="6DEF1A60"/>
    <w:rsid w:val="6E3642E0"/>
    <w:rsid w:val="6E5C2689"/>
    <w:rsid w:val="6EBA4070"/>
    <w:rsid w:val="6F47456A"/>
    <w:rsid w:val="6F63569E"/>
    <w:rsid w:val="6FB506EF"/>
    <w:rsid w:val="6FFD033C"/>
    <w:rsid w:val="70BF7C46"/>
    <w:rsid w:val="70E20056"/>
    <w:rsid w:val="70EA54F6"/>
    <w:rsid w:val="710D2C1D"/>
    <w:rsid w:val="71963FEB"/>
    <w:rsid w:val="71E06639"/>
    <w:rsid w:val="7293416F"/>
    <w:rsid w:val="72CC5D78"/>
    <w:rsid w:val="740F4E07"/>
    <w:rsid w:val="7436471D"/>
    <w:rsid w:val="74934A73"/>
    <w:rsid w:val="74BA1A15"/>
    <w:rsid w:val="74F14994"/>
    <w:rsid w:val="751F5469"/>
    <w:rsid w:val="75C61A3A"/>
    <w:rsid w:val="75C6429A"/>
    <w:rsid w:val="761D369A"/>
    <w:rsid w:val="76C975CE"/>
    <w:rsid w:val="7725684E"/>
    <w:rsid w:val="77665D09"/>
    <w:rsid w:val="7780027D"/>
    <w:rsid w:val="77831328"/>
    <w:rsid w:val="77990278"/>
    <w:rsid w:val="77D87566"/>
    <w:rsid w:val="78051F85"/>
    <w:rsid w:val="7805237B"/>
    <w:rsid w:val="784B1A90"/>
    <w:rsid w:val="786B18F3"/>
    <w:rsid w:val="790A3FF4"/>
    <w:rsid w:val="797847EA"/>
    <w:rsid w:val="79DE01BD"/>
    <w:rsid w:val="79E87DCE"/>
    <w:rsid w:val="7A2A7314"/>
    <w:rsid w:val="7A74052D"/>
    <w:rsid w:val="7A9C5824"/>
    <w:rsid w:val="7AD74044"/>
    <w:rsid w:val="7BD13E42"/>
    <w:rsid w:val="7C1B13FD"/>
    <w:rsid w:val="7C60401B"/>
    <w:rsid w:val="7D057608"/>
    <w:rsid w:val="7E8B74DA"/>
    <w:rsid w:val="7E952A68"/>
    <w:rsid w:val="7F4F5AD6"/>
    <w:rsid w:val="7F983E2A"/>
    <w:rsid w:val="7FA45E8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21"/>
    <w:qFormat/>
    <w:uiPriority w:val="99"/>
    <w:pPr>
      <w:spacing w:after="120"/>
    </w:pPr>
  </w:style>
  <w:style w:type="paragraph" w:styleId="3">
    <w:name w:val="annotation text"/>
    <w:basedOn w:val="1"/>
    <w:link w:val="16"/>
    <w:qFormat/>
    <w:uiPriority w:val="0"/>
    <w:pPr>
      <w:jc w:val="left"/>
    </w:pPr>
  </w:style>
  <w:style w:type="paragraph" w:styleId="4">
    <w:name w:val="Balloon Text"/>
    <w:basedOn w:val="1"/>
    <w:link w:val="18"/>
    <w:qFormat/>
    <w:uiPriority w:val="0"/>
    <w:rPr>
      <w:sz w:val="18"/>
      <w:szCs w:val="18"/>
    </w:rPr>
  </w:style>
  <w:style w:type="paragraph" w:styleId="5">
    <w:name w:val="footer"/>
    <w:basedOn w:val="1"/>
    <w:link w:val="19"/>
    <w:qFormat/>
    <w:uiPriority w:val="99"/>
    <w:pPr>
      <w:tabs>
        <w:tab w:val="center" w:pos="4153"/>
        <w:tab w:val="right" w:pos="8306"/>
      </w:tabs>
      <w:snapToGrid w:val="0"/>
      <w:jc w:val="left"/>
    </w:pPr>
    <w:rPr>
      <w:sz w:val="18"/>
      <w:szCs w:val="18"/>
    </w:rPr>
  </w:style>
  <w:style w:type="paragraph" w:styleId="6">
    <w:name w:val="header"/>
    <w:basedOn w:val="1"/>
    <w:link w:val="20"/>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8">
    <w:name w:val="annotation subject"/>
    <w:basedOn w:val="3"/>
    <w:next w:val="3"/>
    <w:link w:val="17"/>
    <w:qFormat/>
    <w:uiPriority w:val="0"/>
    <w:rPr>
      <w:b/>
      <w:bCs/>
    </w:rPr>
  </w:style>
  <w:style w:type="table" w:styleId="10">
    <w:name w:val="Table Grid"/>
    <w:basedOn w:val="9"/>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styleId="12">
    <w:name w:val="annotation reference"/>
    <w:qFormat/>
    <w:uiPriority w:val="0"/>
    <w:rPr>
      <w:sz w:val="21"/>
      <w:szCs w:val="21"/>
    </w:rPr>
  </w:style>
  <w:style w:type="paragraph" w:customStyle="1" w:styleId="13">
    <w:name w:val="样式"/>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14">
    <w:name w:val="Default"/>
    <w:qFormat/>
    <w:uiPriority w:val="0"/>
    <w:pPr>
      <w:widowControl w:val="0"/>
      <w:autoSpaceDE w:val="0"/>
      <w:autoSpaceDN w:val="0"/>
      <w:adjustRightInd w:val="0"/>
    </w:pPr>
    <w:rPr>
      <w:rFonts w:hint="eastAsia" w:ascii="宋体" w:hAnsi="Times New Roman" w:eastAsia="宋体" w:cs="Times New Roman"/>
      <w:color w:val="000000"/>
      <w:sz w:val="24"/>
      <w:szCs w:val="24"/>
      <w:lang w:val="en-US" w:eastAsia="zh-CN" w:bidi="ar-SA"/>
    </w:rPr>
  </w:style>
  <w:style w:type="paragraph" w:customStyle="1" w:styleId="15">
    <w:name w:val="Char Char Char Char Char Char Char Char Char Char Char Char Char Char Char"/>
    <w:basedOn w:val="1"/>
    <w:qFormat/>
    <w:uiPriority w:val="0"/>
    <w:rPr>
      <w:szCs w:val="21"/>
    </w:rPr>
  </w:style>
  <w:style w:type="character" w:customStyle="1" w:styleId="16">
    <w:name w:val="批注文字 Char"/>
    <w:link w:val="3"/>
    <w:qFormat/>
    <w:uiPriority w:val="0"/>
    <w:rPr>
      <w:kern w:val="2"/>
      <w:sz w:val="21"/>
      <w:szCs w:val="24"/>
    </w:rPr>
  </w:style>
  <w:style w:type="character" w:customStyle="1" w:styleId="17">
    <w:name w:val="批注主题 Char"/>
    <w:link w:val="8"/>
    <w:qFormat/>
    <w:uiPriority w:val="0"/>
    <w:rPr>
      <w:b/>
      <w:bCs/>
      <w:kern w:val="2"/>
      <w:sz w:val="21"/>
      <w:szCs w:val="24"/>
    </w:rPr>
  </w:style>
  <w:style w:type="character" w:customStyle="1" w:styleId="18">
    <w:name w:val="批注框文本 Char"/>
    <w:link w:val="4"/>
    <w:qFormat/>
    <w:uiPriority w:val="0"/>
    <w:rPr>
      <w:kern w:val="2"/>
      <w:sz w:val="18"/>
      <w:szCs w:val="18"/>
    </w:rPr>
  </w:style>
  <w:style w:type="character" w:customStyle="1" w:styleId="19">
    <w:name w:val="页脚 Char"/>
    <w:link w:val="5"/>
    <w:qFormat/>
    <w:uiPriority w:val="99"/>
    <w:rPr>
      <w:kern w:val="2"/>
      <w:sz w:val="18"/>
      <w:szCs w:val="18"/>
    </w:rPr>
  </w:style>
  <w:style w:type="character" w:customStyle="1" w:styleId="20">
    <w:name w:val="页眉 Char"/>
    <w:basedOn w:val="11"/>
    <w:link w:val="6"/>
    <w:qFormat/>
    <w:uiPriority w:val="99"/>
    <w:rPr>
      <w:rFonts w:ascii="Times New Roman" w:hAnsi="Times New Roman"/>
      <w:kern w:val="2"/>
      <w:sz w:val="18"/>
      <w:szCs w:val="18"/>
    </w:rPr>
  </w:style>
  <w:style w:type="character" w:customStyle="1" w:styleId="21">
    <w:name w:val="正文文本 Char"/>
    <w:basedOn w:val="11"/>
    <w:link w:val="2"/>
    <w:qFormat/>
    <w:uiPriority w:val="99"/>
    <w:rPr>
      <w:rFonts w:ascii="Times New Roman" w:hAnsi="Times New Roman"/>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8C50F5B-2086-4A83-9AE7-BA349DC09ED8}">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11724</Words>
  <Characters>12070</Characters>
  <Lines>87</Lines>
  <Paragraphs>24</Paragraphs>
  <TotalTime>0</TotalTime>
  <ScaleCrop>false</ScaleCrop>
  <LinksUpToDate>false</LinksUpToDate>
  <CharactersWithSpaces>12083</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2020-11-09T06:27:00Z</dcterms:created>
  <dc:creator>微软用户</dc:creator>
  <cp:lastModifiedBy>JRSC</cp:lastModifiedBy>
  <cp:lastPrinted>2017-07-18T08:47:00Z</cp:lastPrinted>
  <dcterms:modified xsi:type="dcterms:W3CDTF">2024-06-11T03:13:11Z</dcterms:modified>
  <dc:title>长安银行“长盛理财”人民币理财产品客户权益须知</dc:title>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EA4D04ACE1654BCEACBFCE45C491689F</vt:lpwstr>
  </property>
</Properties>
</file>